
<file path=[Content_Types].xml><?xml version="1.0" encoding="utf-8"?>
<Types xmlns="http://schemas.openxmlformats.org/package/2006/content-types">
  <Default Extension="bin" ContentType="application/vnd.openxmlformats-officedocument.oleObject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F4593" w14:textId="77777777" w:rsidR="002A6B61" w:rsidRDefault="002A6B61" w:rsidP="00C54C56">
      <w:pPr>
        <w:pStyle w:val="SOFinalHead3"/>
        <w:spacing w:before="0"/>
      </w:pPr>
      <w:r>
        <w:t>Accounting Analysis and Ratio Tools</w:t>
      </w:r>
    </w:p>
    <w:p w14:paraId="44556840" w14:textId="72BF67D5" w:rsidR="002A6B61" w:rsidRDefault="002A6B61" w:rsidP="00C54C56">
      <w:pPr>
        <w:pStyle w:val="SOFinalHead3"/>
        <w:spacing w:before="0"/>
      </w:pPr>
      <w:r>
        <w:t xml:space="preserve"> </w:t>
      </w:r>
    </w:p>
    <w:p w14:paraId="31518BDB" w14:textId="6BA8C333" w:rsidR="00C54C56" w:rsidRPr="002A6B61" w:rsidRDefault="00C54C56" w:rsidP="00C54C56">
      <w:pPr>
        <w:pStyle w:val="SOFinalHead3"/>
        <w:spacing w:before="0"/>
        <w:rPr>
          <w:rStyle w:val="Strong"/>
          <w:b w:val="0"/>
          <w:sz w:val="22"/>
          <w:szCs w:val="20"/>
        </w:rPr>
      </w:pPr>
      <w:r w:rsidRPr="002A6B61">
        <w:rPr>
          <w:rStyle w:val="Strong"/>
          <w:b w:val="0"/>
          <w:sz w:val="22"/>
          <w:szCs w:val="20"/>
        </w:rPr>
        <w:t>Analysis tools</w:t>
      </w:r>
    </w:p>
    <w:p w14:paraId="206F0DC7" w14:textId="77777777" w:rsidR="00C54C56" w:rsidRPr="00221498" w:rsidRDefault="00C54C56" w:rsidP="00C54C56">
      <w:pPr>
        <w:pStyle w:val="SOFinalBodyTextAfterContentTableHead1"/>
        <w:spacing w:after="120"/>
      </w:pPr>
      <w:r w:rsidRPr="00221498">
        <w:t>Students may use the following ratios for analysis of financial information</w:t>
      </w:r>
      <w:r>
        <w:t>:</w:t>
      </w:r>
    </w:p>
    <w:tbl>
      <w:tblPr>
        <w:tblStyle w:val="SOFinalContentTable"/>
        <w:tblW w:w="8004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1E0" w:firstRow="1" w:lastRow="1" w:firstColumn="1" w:lastColumn="1" w:noHBand="0" w:noVBand="0"/>
        <w:tblDescription w:val="This table shows the ratios for analysis of financial information."/>
      </w:tblPr>
      <w:tblGrid>
        <w:gridCol w:w="3047"/>
        <w:gridCol w:w="14"/>
        <w:gridCol w:w="3345"/>
        <w:gridCol w:w="8"/>
        <w:gridCol w:w="1590"/>
      </w:tblGrid>
      <w:tr w:rsidR="00C54C56" w:rsidRPr="00221498" w14:paraId="00E3972B" w14:textId="77777777" w:rsidTr="00C54C56">
        <w:tc>
          <w:tcPr>
            <w:tcW w:w="3061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top w:w="62" w:type="dxa"/>
              <w:left w:w="0" w:type="dxa"/>
              <w:bottom w:w="62" w:type="dxa"/>
              <w:right w:w="0" w:type="dxa"/>
            </w:tcMar>
          </w:tcPr>
          <w:p w14:paraId="5F704E21" w14:textId="77777777" w:rsidR="00C54C56" w:rsidRPr="00221498" w:rsidRDefault="00C54C56" w:rsidP="00C87A99">
            <w:pPr>
              <w:pStyle w:val="SOFinalContentTableHead2"/>
              <w:spacing w:after="0"/>
            </w:pPr>
            <w:r>
              <w:t>Name</w:t>
            </w:r>
          </w:p>
        </w:tc>
        <w:tc>
          <w:tcPr>
            <w:tcW w:w="3353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top w:w="62" w:type="dxa"/>
              <w:left w:w="0" w:type="dxa"/>
              <w:bottom w:w="62" w:type="dxa"/>
              <w:right w:w="0" w:type="dxa"/>
            </w:tcMar>
          </w:tcPr>
          <w:p w14:paraId="727222B9" w14:textId="77777777" w:rsidR="00C54C56" w:rsidRPr="00221498" w:rsidRDefault="00C54C56" w:rsidP="00C87A99">
            <w:pPr>
              <w:pStyle w:val="SOFinalContentTableHead2"/>
              <w:spacing w:after="0"/>
            </w:pPr>
            <w:r>
              <w:t>Calculation</w:t>
            </w:r>
          </w:p>
        </w:tc>
        <w:tc>
          <w:tcPr>
            <w:tcW w:w="1586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top w:w="62" w:type="dxa"/>
              <w:left w:w="0" w:type="dxa"/>
              <w:bottom w:w="62" w:type="dxa"/>
              <w:right w:w="0" w:type="dxa"/>
            </w:tcMar>
          </w:tcPr>
          <w:p w14:paraId="1FAB1223" w14:textId="77777777" w:rsidR="00C54C56" w:rsidRPr="00221498" w:rsidRDefault="00C54C56" w:rsidP="00C87A99">
            <w:pPr>
              <w:pStyle w:val="SOFinalContentTableHead2"/>
              <w:spacing w:after="0"/>
            </w:pPr>
            <w:r w:rsidRPr="00221498">
              <w:t>Expressed as</w:t>
            </w:r>
          </w:p>
        </w:tc>
      </w:tr>
      <w:tr w:rsidR="00C54C56" w:rsidRPr="00221498" w14:paraId="36311FBC" w14:textId="77777777" w:rsidTr="00C54C56">
        <w:tc>
          <w:tcPr>
            <w:tcW w:w="3061" w:type="dxa"/>
            <w:gridSpan w:val="2"/>
            <w:tcBorders>
              <w:top w:val="single" w:sz="2" w:space="0" w:color="A6A6A6" w:themeColor="background1" w:themeShade="A6"/>
            </w:tcBorders>
          </w:tcPr>
          <w:p w14:paraId="362B06EB" w14:textId="77777777" w:rsidR="00C54C56" w:rsidRDefault="00C54C56" w:rsidP="00C87A99">
            <w:pPr>
              <w:pStyle w:val="SOFinalContentTableHead3"/>
            </w:pPr>
            <w:r w:rsidRPr="00221498">
              <w:t>Profitability (Return)</w:t>
            </w:r>
          </w:p>
          <w:p w14:paraId="2BB524FD" w14:textId="77777777" w:rsidR="00C54C56" w:rsidRPr="00BD2F73" w:rsidRDefault="00C54C56" w:rsidP="00C87A99">
            <w:pPr>
              <w:pStyle w:val="SOFinalContentTableText"/>
            </w:pPr>
            <w:r w:rsidRPr="00221498">
              <w:t>For all entities:</w:t>
            </w:r>
          </w:p>
          <w:p w14:paraId="5F58C504" w14:textId="77777777" w:rsidR="00C54C56" w:rsidRPr="00221498" w:rsidRDefault="00C54C56" w:rsidP="00C87A99">
            <w:pPr>
              <w:pStyle w:val="SOFinalContentTableText"/>
              <w:ind w:left="170"/>
            </w:pPr>
            <w:r w:rsidRPr="00221498">
              <w:t>Return on equity</w:t>
            </w:r>
          </w:p>
        </w:tc>
        <w:tc>
          <w:tcPr>
            <w:tcW w:w="3353" w:type="dxa"/>
            <w:gridSpan w:val="2"/>
            <w:tcBorders>
              <w:top w:val="single" w:sz="2" w:space="0" w:color="A6A6A6" w:themeColor="background1" w:themeShade="A6"/>
            </w:tcBorders>
          </w:tcPr>
          <w:p w14:paraId="6B8B12C0" w14:textId="77777777" w:rsidR="00C54C56" w:rsidRPr="00221498" w:rsidRDefault="00C54C56" w:rsidP="00C87A99">
            <w:pPr>
              <w:pStyle w:val="SOFinalContentTableEquation"/>
              <w:spacing w:before="860"/>
            </w:pPr>
            <w:r w:rsidRPr="00221498">
              <w:rPr>
                <w:position w:val="-28"/>
                <w:lang w:eastAsia="en-US" w:bidi="ar-SA"/>
              </w:rPr>
              <w:object w:dxaOrig="1320" w:dyaOrig="639" w14:anchorId="53A490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net profit over owner's equity&#10;Footnote: Averages are used for these values. However, the availability of information may necessitate the use of opening or closing values." style="width:66.55pt;height:31.9pt" o:ole="" fillcolor="window">
                  <v:imagedata r:id="rId12" o:title=""/>
                </v:shape>
                <o:OLEObject Type="Embed" ProgID="Equation.DSMT4" ShapeID="_x0000_i1025" DrawAspect="Content" ObjectID="_1657350394" r:id="rId13"/>
              </w:object>
            </w:r>
          </w:p>
        </w:tc>
        <w:tc>
          <w:tcPr>
            <w:tcW w:w="1586" w:type="dxa"/>
            <w:tcBorders>
              <w:top w:val="single" w:sz="2" w:space="0" w:color="A6A6A6" w:themeColor="background1" w:themeShade="A6"/>
            </w:tcBorders>
          </w:tcPr>
          <w:p w14:paraId="515B49F5" w14:textId="77777777" w:rsidR="00C54C56" w:rsidRPr="00221498" w:rsidRDefault="00C54C56" w:rsidP="00C87A99">
            <w:pPr>
              <w:pStyle w:val="SOFinalContentTableTextCentered"/>
              <w:spacing w:before="900"/>
            </w:pPr>
            <w:r w:rsidRPr="00221498">
              <w:t>%</w:t>
            </w:r>
          </w:p>
        </w:tc>
      </w:tr>
      <w:tr w:rsidR="00C54C56" w:rsidRPr="00221498" w14:paraId="702018BF" w14:textId="77777777" w:rsidTr="00C54C56">
        <w:tc>
          <w:tcPr>
            <w:tcW w:w="3061" w:type="dxa"/>
            <w:gridSpan w:val="2"/>
          </w:tcPr>
          <w:p w14:paraId="159B4013" w14:textId="77777777" w:rsidR="00C54C56" w:rsidRPr="00221498" w:rsidRDefault="00C54C56" w:rsidP="00C87A99">
            <w:pPr>
              <w:pStyle w:val="SOFinalContentTableTextUnderBullet"/>
            </w:pPr>
            <w:r w:rsidRPr="00221498">
              <w:t>Return on total assets</w:t>
            </w:r>
          </w:p>
        </w:tc>
        <w:tc>
          <w:tcPr>
            <w:tcW w:w="3353" w:type="dxa"/>
            <w:gridSpan w:val="2"/>
          </w:tcPr>
          <w:p w14:paraId="7FF5C508" w14:textId="77777777" w:rsidR="00C54C56" w:rsidRPr="00221498" w:rsidRDefault="00C54C56" w:rsidP="00C87A99">
            <w:pPr>
              <w:pStyle w:val="SOFinalContentTableEquation"/>
            </w:pPr>
            <w:r w:rsidRPr="00221498">
              <w:rPr>
                <w:position w:val="-28"/>
                <w:lang w:eastAsia="en-US" w:bidi="ar-SA"/>
              </w:rPr>
              <w:object w:dxaOrig="1980" w:dyaOrig="639" w14:anchorId="6B3D00A4">
                <v:shape id="_x0000_i1026" type="#_x0000_t75" alt="net profit plus interest expense over total assets&#10;Footnote: Averages are used for these values. However, the availability of information may necessitate the use of opening or closing values." style="width:99.15pt;height:31.9pt" o:ole="" fillcolor="window">
                  <v:imagedata r:id="rId14" o:title=""/>
                </v:shape>
                <o:OLEObject Type="Embed" ProgID="Equation.DSMT4" ShapeID="_x0000_i1026" DrawAspect="Content" ObjectID="_1657350395" r:id="rId15"/>
              </w:object>
            </w:r>
          </w:p>
        </w:tc>
        <w:tc>
          <w:tcPr>
            <w:tcW w:w="1586" w:type="dxa"/>
          </w:tcPr>
          <w:p w14:paraId="1294C396" w14:textId="77777777" w:rsidR="00C54C56" w:rsidRPr="00221498" w:rsidRDefault="00C54C56" w:rsidP="00C87A99">
            <w:pPr>
              <w:pStyle w:val="SOFinalContentTableTextCentered"/>
            </w:pPr>
            <w:r w:rsidRPr="00221498">
              <w:t>%</w:t>
            </w:r>
          </w:p>
        </w:tc>
      </w:tr>
      <w:tr w:rsidR="00C54C56" w:rsidRPr="00221498" w14:paraId="19E3125E" w14:textId="77777777" w:rsidTr="00C54C56">
        <w:tc>
          <w:tcPr>
            <w:tcW w:w="3061" w:type="dxa"/>
            <w:gridSpan w:val="2"/>
          </w:tcPr>
          <w:p w14:paraId="1A624DA0" w14:textId="77777777" w:rsidR="00C54C56" w:rsidRPr="00221498" w:rsidRDefault="00C54C56" w:rsidP="00C87A99">
            <w:pPr>
              <w:pStyle w:val="SOFinalContentTableTextUnderBullet"/>
            </w:pPr>
            <w:r>
              <w:t>P</w:t>
            </w:r>
            <w:r w:rsidRPr="00221498">
              <w:t>rofit margin</w:t>
            </w:r>
          </w:p>
        </w:tc>
        <w:tc>
          <w:tcPr>
            <w:tcW w:w="3353" w:type="dxa"/>
            <w:gridSpan w:val="2"/>
          </w:tcPr>
          <w:p w14:paraId="4848BEE1" w14:textId="77777777" w:rsidR="00C54C56" w:rsidRPr="00221498" w:rsidRDefault="00C54C56" w:rsidP="00C87A99">
            <w:pPr>
              <w:pStyle w:val="SOFinalContentTableEquation"/>
            </w:pPr>
            <w:r w:rsidRPr="000B1F72">
              <w:rPr>
                <w:position w:val="-24"/>
                <w:lang w:eastAsia="en-US" w:bidi="ar-SA"/>
              </w:rPr>
              <w:object w:dxaOrig="820" w:dyaOrig="600" w14:anchorId="1E4E870C">
                <v:shape id="_x0000_i1027" type="#_x0000_t75" alt="net profit over net sales" style="width:41.45pt;height:29.9pt" o:ole="" fillcolor="window">
                  <v:imagedata r:id="rId16" o:title=""/>
                </v:shape>
                <o:OLEObject Type="Embed" ProgID="Equation.DSMT4" ShapeID="_x0000_i1027" DrawAspect="Content" ObjectID="_1657350396" r:id="rId17"/>
              </w:object>
            </w:r>
          </w:p>
        </w:tc>
        <w:tc>
          <w:tcPr>
            <w:tcW w:w="1586" w:type="dxa"/>
          </w:tcPr>
          <w:p w14:paraId="29CF89B8" w14:textId="77777777" w:rsidR="00C54C56" w:rsidRPr="00221498" w:rsidRDefault="00C54C56" w:rsidP="00C87A99">
            <w:pPr>
              <w:pStyle w:val="SOFinalContentTableTextCentered"/>
            </w:pPr>
            <w:r w:rsidRPr="00221498">
              <w:t>%</w:t>
            </w:r>
          </w:p>
        </w:tc>
      </w:tr>
      <w:tr w:rsidR="00C54C56" w:rsidRPr="00221498" w14:paraId="4E8D9F54" w14:textId="77777777" w:rsidTr="00C54C56">
        <w:tc>
          <w:tcPr>
            <w:tcW w:w="3061" w:type="dxa"/>
            <w:gridSpan w:val="2"/>
          </w:tcPr>
          <w:p w14:paraId="37444E4E" w14:textId="77777777" w:rsidR="00C54C56" w:rsidRPr="00221498" w:rsidRDefault="00C54C56" w:rsidP="00C87A99">
            <w:pPr>
              <w:pStyle w:val="SOFinalContentTableTextUnderBullet"/>
            </w:pPr>
            <w:r w:rsidRPr="00221498">
              <w:t>Expense</w:t>
            </w:r>
          </w:p>
        </w:tc>
        <w:tc>
          <w:tcPr>
            <w:tcW w:w="3353" w:type="dxa"/>
            <w:gridSpan w:val="2"/>
          </w:tcPr>
          <w:p w14:paraId="527CDBFA" w14:textId="77777777" w:rsidR="00C54C56" w:rsidRPr="00221498" w:rsidRDefault="00C54C56" w:rsidP="00C87A99">
            <w:pPr>
              <w:pStyle w:val="SOFinalContentTableEquation"/>
            </w:pPr>
            <w:r w:rsidRPr="00221498">
              <w:rPr>
                <w:position w:val="-24"/>
                <w:lang w:eastAsia="en-US" w:bidi="ar-SA"/>
              </w:rPr>
              <w:object w:dxaOrig="1620" w:dyaOrig="600" w14:anchorId="459F8763">
                <v:shape id="_x0000_i1028" type="#_x0000_t75" alt="individual expenses over net sales" style="width:80.15pt;height:29.9pt" o:ole="" fillcolor="window">
                  <v:imagedata r:id="rId18" o:title=""/>
                </v:shape>
                <o:OLEObject Type="Embed" ProgID="Equation.DSMT4" ShapeID="_x0000_i1028" DrawAspect="Content" ObjectID="_1657350397" r:id="rId19"/>
              </w:object>
            </w:r>
          </w:p>
        </w:tc>
        <w:tc>
          <w:tcPr>
            <w:tcW w:w="1586" w:type="dxa"/>
          </w:tcPr>
          <w:p w14:paraId="1B0FF744" w14:textId="77777777" w:rsidR="00C54C56" w:rsidRPr="00221498" w:rsidRDefault="00C54C56" w:rsidP="00C87A99">
            <w:pPr>
              <w:pStyle w:val="SOFinalContentTableTextCentered"/>
            </w:pPr>
            <w:r w:rsidRPr="00221498">
              <w:t>%</w:t>
            </w:r>
          </w:p>
        </w:tc>
      </w:tr>
      <w:tr w:rsidR="00C54C56" w:rsidRPr="00221498" w14:paraId="170073FE" w14:textId="77777777" w:rsidTr="00C54C56">
        <w:tc>
          <w:tcPr>
            <w:tcW w:w="3061" w:type="dxa"/>
            <w:gridSpan w:val="2"/>
          </w:tcPr>
          <w:p w14:paraId="2A263920" w14:textId="77777777" w:rsidR="00C54C56" w:rsidRPr="00221498" w:rsidRDefault="00C54C56" w:rsidP="00C87A99">
            <w:pPr>
              <w:pStyle w:val="SOFinalContentTableTextUnderBullet"/>
            </w:pPr>
            <w:r w:rsidRPr="00221498">
              <w:t xml:space="preserve">Gross profit margin </w:t>
            </w:r>
          </w:p>
        </w:tc>
        <w:tc>
          <w:tcPr>
            <w:tcW w:w="3353" w:type="dxa"/>
            <w:gridSpan w:val="2"/>
          </w:tcPr>
          <w:p w14:paraId="176A51C6" w14:textId="77777777" w:rsidR="00C54C56" w:rsidRPr="00221498" w:rsidRDefault="00C54C56" w:rsidP="00C87A99">
            <w:pPr>
              <w:pStyle w:val="SOFinalContentTableEquation"/>
            </w:pPr>
            <w:r w:rsidRPr="000B1F72">
              <w:rPr>
                <w:position w:val="-24"/>
                <w:lang w:eastAsia="en-US" w:bidi="ar-SA"/>
              </w:rPr>
              <w:object w:dxaOrig="999" w:dyaOrig="600" w14:anchorId="1419CB5E">
                <v:shape id="_x0000_i1029" type="#_x0000_t75" alt="gross profit over net sales" style="width:50.25pt;height:29.9pt" o:ole="" fillcolor="window">
                  <v:imagedata r:id="rId20" o:title=""/>
                </v:shape>
                <o:OLEObject Type="Embed" ProgID="Equation.DSMT4" ShapeID="_x0000_i1029" DrawAspect="Content" ObjectID="_1657350398" r:id="rId21"/>
              </w:object>
            </w:r>
          </w:p>
        </w:tc>
        <w:tc>
          <w:tcPr>
            <w:tcW w:w="1586" w:type="dxa"/>
          </w:tcPr>
          <w:p w14:paraId="64CFE7E7" w14:textId="77777777" w:rsidR="00C54C56" w:rsidRPr="00221498" w:rsidRDefault="00C54C56" w:rsidP="00C87A99">
            <w:pPr>
              <w:pStyle w:val="SOFinalContentTableTextCentered"/>
            </w:pPr>
            <w:r w:rsidRPr="00221498">
              <w:t>%</w:t>
            </w:r>
          </w:p>
        </w:tc>
      </w:tr>
      <w:tr w:rsidR="00C54C56" w:rsidRPr="00221498" w14:paraId="5EF9F716" w14:textId="77777777" w:rsidTr="00C54C56">
        <w:tc>
          <w:tcPr>
            <w:tcW w:w="3061" w:type="dxa"/>
            <w:gridSpan w:val="2"/>
          </w:tcPr>
          <w:p w14:paraId="076EA068" w14:textId="77777777" w:rsidR="00C54C56" w:rsidRDefault="00C54C56" w:rsidP="00C87A99">
            <w:pPr>
              <w:pStyle w:val="SOFinalContentTableText"/>
            </w:pPr>
            <w:r w:rsidRPr="00221498">
              <w:t>For companies:</w:t>
            </w:r>
          </w:p>
          <w:p w14:paraId="3A0C740C" w14:textId="77777777" w:rsidR="00C54C56" w:rsidRPr="00221498" w:rsidRDefault="00C54C56" w:rsidP="00C87A99">
            <w:pPr>
              <w:pStyle w:val="SOFinalContentTableTextUnderBullet"/>
            </w:pPr>
            <w:r w:rsidRPr="00221498">
              <w:t>Earnings per ordinary share</w:t>
            </w:r>
          </w:p>
        </w:tc>
        <w:tc>
          <w:tcPr>
            <w:tcW w:w="3353" w:type="dxa"/>
            <w:gridSpan w:val="2"/>
          </w:tcPr>
          <w:p w14:paraId="0ACCC807" w14:textId="77777777" w:rsidR="00C54C56" w:rsidRPr="00221498" w:rsidRDefault="00C54C56" w:rsidP="00C87A99">
            <w:pPr>
              <w:pStyle w:val="SOFinalContentTableEquation"/>
              <w:spacing w:before="320"/>
            </w:pPr>
            <w:r w:rsidRPr="00221498">
              <w:rPr>
                <w:position w:val="-24"/>
                <w:lang w:eastAsia="en-US" w:bidi="ar-SA"/>
              </w:rPr>
              <w:object w:dxaOrig="2520" w:dyaOrig="600" w14:anchorId="3C9B85ED">
                <v:shape id="_x0000_i1030" type="#_x0000_t75" alt="net profit for ordinary shareholders over number of ordinary shares" style="width:127pt;height:29.9pt" o:ole="" fillcolor="window">
                  <v:imagedata r:id="rId22" o:title=""/>
                </v:shape>
                <o:OLEObject Type="Embed" ProgID="Equation.DSMT4" ShapeID="_x0000_i1030" DrawAspect="Content" ObjectID="_1657350399" r:id="rId23"/>
              </w:object>
            </w:r>
          </w:p>
        </w:tc>
        <w:tc>
          <w:tcPr>
            <w:tcW w:w="1586" w:type="dxa"/>
          </w:tcPr>
          <w:p w14:paraId="6D227BF2" w14:textId="77777777" w:rsidR="00C54C56" w:rsidRPr="00221498" w:rsidRDefault="00C54C56" w:rsidP="00C87A99">
            <w:pPr>
              <w:pStyle w:val="SOFinalContentTableTextCentered"/>
              <w:spacing w:before="320"/>
            </w:pPr>
            <w:r w:rsidRPr="00221498">
              <w:t>$</w:t>
            </w:r>
          </w:p>
        </w:tc>
      </w:tr>
      <w:tr w:rsidR="00C54C56" w:rsidRPr="00221498" w14:paraId="5D4172BF" w14:textId="77777777" w:rsidTr="00C54C56">
        <w:tc>
          <w:tcPr>
            <w:tcW w:w="3061" w:type="dxa"/>
            <w:gridSpan w:val="2"/>
          </w:tcPr>
          <w:p w14:paraId="3688F0B8" w14:textId="77777777" w:rsidR="00C54C56" w:rsidRPr="00221498" w:rsidRDefault="00C54C56" w:rsidP="00C87A99">
            <w:pPr>
              <w:pStyle w:val="SOFinalContentTableTextUnderBullet"/>
            </w:pPr>
            <w:r w:rsidRPr="00221498">
              <w:t>Earnings yield</w:t>
            </w:r>
          </w:p>
        </w:tc>
        <w:tc>
          <w:tcPr>
            <w:tcW w:w="3353" w:type="dxa"/>
            <w:gridSpan w:val="2"/>
          </w:tcPr>
          <w:p w14:paraId="3E8781A2" w14:textId="77777777" w:rsidR="00C54C56" w:rsidRPr="00221498" w:rsidRDefault="00C54C56" w:rsidP="00C87A99">
            <w:pPr>
              <w:pStyle w:val="SOFinalContentTableEquation"/>
              <w:rPr>
                <w:sz w:val="20"/>
              </w:rPr>
            </w:pPr>
            <w:r w:rsidRPr="00221498">
              <w:rPr>
                <w:position w:val="-24"/>
                <w:lang w:eastAsia="en-US" w:bidi="ar-SA"/>
              </w:rPr>
              <w:object w:dxaOrig="2520" w:dyaOrig="600" w14:anchorId="356DB874">
                <v:shape id="_x0000_i1031" type="#_x0000_t75" alt="earnings per ordinary share over market price per ordinary share" style="width:126.35pt;height:29.9pt" o:ole="" fillcolor="window">
                  <v:imagedata r:id="rId24" o:title=""/>
                </v:shape>
                <o:OLEObject Type="Embed" ProgID="Equation.DSMT4" ShapeID="_x0000_i1031" DrawAspect="Content" ObjectID="_1657350400" r:id="rId25"/>
              </w:object>
            </w:r>
          </w:p>
        </w:tc>
        <w:tc>
          <w:tcPr>
            <w:tcW w:w="1586" w:type="dxa"/>
          </w:tcPr>
          <w:p w14:paraId="6F8505EE" w14:textId="77777777" w:rsidR="00C54C56" w:rsidRPr="00221498" w:rsidRDefault="00C54C56" w:rsidP="00C87A99">
            <w:pPr>
              <w:pStyle w:val="SOFinalContentTableTextCentered"/>
            </w:pPr>
            <w:r w:rsidRPr="00221498">
              <w:t>%</w:t>
            </w:r>
          </w:p>
        </w:tc>
      </w:tr>
      <w:tr w:rsidR="00C54C56" w:rsidRPr="00221498" w14:paraId="41078D94" w14:textId="77777777" w:rsidTr="00C54C56">
        <w:tc>
          <w:tcPr>
            <w:tcW w:w="3061" w:type="dxa"/>
            <w:gridSpan w:val="2"/>
            <w:tcBorders>
              <w:bottom w:val="nil"/>
            </w:tcBorders>
          </w:tcPr>
          <w:p w14:paraId="32DBE9D2" w14:textId="77777777" w:rsidR="00C54C56" w:rsidRPr="00221498" w:rsidRDefault="00C54C56" w:rsidP="00C87A99">
            <w:pPr>
              <w:pStyle w:val="SOFinalContentTableTextUnderBullet"/>
            </w:pPr>
            <w:r w:rsidRPr="00221498">
              <w:t xml:space="preserve">Dividend per ordinary share </w:t>
            </w:r>
          </w:p>
        </w:tc>
        <w:tc>
          <w:tcPr>
            <w:tcW w:w="3353" w:type="dxa"/>
            <w:gridSpan w:val="2"/>
            <w:tcBorders>
              <w:bottom w:val="nil"/>
            </w:tcBorders>
          </w:tcPr>
          <w:p w14:paraId="39A5EE5D" w14:textId="77777777" w:rsidR="00C54C56" w:rsidRPr="00221498" w:rsidRDefault="00C54C56" w:rsidP="00C87A99">
            <w:pPr>
              <w:pStyle w:val="SOFinalContentTableEquation"/>
              <w:rPr>
                <w:sz w:val="20"/>
              </w:rPr>
            </w:pPr>
            <w:r w:rsidRPr="00221498">
              <w:rPr>
                <w:position w:val="-24"/>
                <w:lang w:eastAsia="en-US" w:bidi="ar-SA"/>
              </w:rPr>
              <w:object w:dxaOrig="2160" w:dyaOrig="600" w14:anchorId="4D4A0E6F">
                <v:shape id="_x0000_i1032" type="#_x0000_t75" alt="total ordinary dividend over number of ordinary shares" style="width:108pt;height:29.9pt" o:ole="" fillcolor="window">
                  <v:imagedata r:id="rId26" o:title=""/>
                </v:shape>
                <o:OLEObject Type="Embed" ProgID="Equation.DSMT4" ShapeID="_x0000_i1032" DrawAspect="Content" ObjectID="_1657350401" r:id="rId27"/>
              </w:object>
            </w:r>
          </w:p>
        </w:tc>
        <w:tc>
          <w:tcPr>
            <w:tcW w:w="1586" w:type="dxa"/>
            <w:tcBorders>
              <w:bottom w:val="nil"/>
            </w:tcBorders>
          </w:tcPr>
          <w:p w14:paraId="2DB62DCB" w14:textId="77777777" w:rsidR="00C54C56" w:rsidRPr="00221498" w:rsidRDefault="00C54C56" w:rsidP="00C87A99">
            <w:pPr>
              <w:pStyle w:val="SOFinalContentTableTextCentered"/>
            </w:pPr>
            <w:r w:rsidRPr="00221498">
              <w:t>$</w:t>
            </w:r>
          </w:p>
        </w:tc>
      </w:tr>
      <w:tr w:rsidR="00C54C56" w:rsidRPr="00221498" w14:paraId="157C2879" w14:textId="77777777" w:rsidTr="00C54C56">
        <w:tc>
          <w:tcPr>
            <w:tcW w:w="3061" w:type="dxa"/>
            <w:gridSpan w:val="2"/>
            <w:tcBorders>
              <w:top w:val="nil"/>
              <w:bottom w:val="single" w:sz="2" w:space="0" w:color="A6A6A6" w:themeColor="background1" w:themeShade="A6"/>
            </w:tcBorders>
          </w:tcPr>
          <w:p w14:paraId="59CF2F85" w14:textId="77777777" w:rsidR="00C54C56" w:rsidRPr="00221498" w:rsidRDefault="00C54C56" w:rsidP="00C87A99">
            <w:pPr>
              <w:pStyle w:val="SOFinalContentTableTextUnderBullet"/>
            </w:pPr>
            <w:r w:rsidRPr="00221498">
              <w:t>Dividend yield</w:t>
            </w:r>
          </w:p>
        </w:tc>
        <w:tc>
          <w:tcPr>
            <w:tcW w:w="3353" w:type="dxa"/>
            <w:gridSpan w:val="2"/>
            <w:tcBorders>
              <w:top w:val="nil"/>
              <w:bottom w:val="single" w:sz="2" w:space="0" w:color="A6A6A6" w:themeColor="background1" w:themeShade="A6"/>
            </w:tcBorders>
          </w:tcPr>
          <w:p w14:paraId="7C5EE977" w14:textId="77777777" w:rsidR="00C54C56" w:rsidRPr="00221498" w:rsidRDefault="00C54C56" w:rsidP="00C87A99">
            <w:pPr>
              <w:pStyle w:val="SOFinalContentTableEquation"/>
            </w:pPr>
            <w:r w:rsidRPr="00221498">
              <w:rPr>
                <w:position w:val="-24"/>
                <w:lang w:eastAsia="en-US" w:bidi="ar-SA"/>
              </w:rPr>
              <w:object w:dxaOrig="2520" w:dyaOrig="600" w14:anchorId="2D189F6D">
                <v:shape id="_x0000_i1033" type="#_x0000_t75" alt="dividend per ordinary share over market price per ordinary share" style="width:126.35pt;height:29.9pt" o:ole="" fillcolor="window">
                  <v:imagedata r:id="rId28" o:title=""/>
                </v:shape>
                <o:OLEObject Type="Embed" ProgID="Equation.DSMT4" ShapeID="_x0000_i1033" DrawAspect="Content" ObjectID="_1657350402" r:id="rId29"/>
              </w:object>
            </w:r>
          </w:p>
        </w:tc>
        <w:tc>
          <w:tcPr>
            <w:tcW w:w="1586" w:type="dxa"/>
            <w:tcBorders>
              <w:top w:val="nil"/>
              <w:bottom w:val="single" w:sz="2" w:space="0" w:color="A6A6A6" w:themeColor="background1" w:themeShade="A6"/>
            </w:tcBorders>
          </w:tcPr>
          <w:p w14:paraId="602F6680" w14:textId="77777777" w:rsidR="00C54C56" w:rsidRPr="00221498" w:rsidRDefault="00C54C56" w:rsidP="00C87A99">
            <w:pPr>
              <w:pStyle w:val="SOFinalContentTableTextCentered"/>
            </w:pPr>
            <w:r w:rsidRPr="00221498">
              <w:t>%</w:t>
            </w:r>
          </w:p>
        </w:tc>
      </w:tr>
      <w:tr w:rsidR="00C54C56" w:rsidRPr="00221498" w14:paraId="3C75600D" w14:textId="77777777" w:rsidTr="00C54C56">
        <w:tc>
          <w:tcPr>
            <w:tcW w:w="3061" w:type="dxa"/>
            <w:gridSpan w:val="2"/>
            <w:tcBorders>
              <w:top w:val="single" w:sz="2" w:space="0" w:color="A6A6A6" w:themeColor="background1" w:themeShade="A6"/>
            </w:tcBorders>
          </w:tcPr>
          <w:p w14:paraId="572979FB" w14:textId="77777777" w:rsidR="00C54C56" w:rsidRDefault="00C54C56" w:rsidP="00C87A99">
            <w:pPr>
              <w:pStyle w:val="SOFinalContentTableHead3"/>
            </w:pPr>
            <w:r w:rsidRPr="00221498">
              <w:t>Financial Stability (Risk)</w:t>
            </w:r>
          </w:p>
          <w:p w14:paraId="6D396BB8" w14:textId="77777777" w:rsidR="00C54C56" w:rsidRDefault="00C54C56" w:rsidP="00C87A99">
            <w:pPr>
              <w:pStyle w:val="SOFinalContentTableText"/>
            </w:pPr>
            <w:r w:rsidRPr="00221498">
              <w:t>Short Term (Liquidity)</w:t>
            </w:r>
          </w:p>
          <w:p w14:paraId="4EE6745E" w14:textId="77777777" w:rsidR="00C54C56" w:rsidRPr="00221498" w:rsidRDefault="00C54C56" w:rsidP="00C87A99">
            <w:pPr>
              <w:pStyle w:val="SOFinalContentTableTextUnderBullet"/>
            </w:pPr>
            <w:r w:rsidRPr="00221498">
              <w:t xml:space="preserve">Quick </w:t>
            </w:r>
            <w:r>
              <w:t>ratio</w:t>
            </w:r>
            <w:r w:rsidRPr="00221498">
              <w:t xml:space="preserve"> (acid test)</w:t>
            </w:r>
          </w:p>
        </w:tc>
        <w:tc>
          <w:tcPr>
            <w:tcW w:w="3353" w:type="dxa"/>
            <w:gridSpan w:val="2"/>
            <w:tcBorders>
              <w:top w:val="single" w:sz="2" w:space="0" w:color="A6A6A6" w:themeColor="background1" w:themeShade="A6"/>
            </w:tcBorders>
          </w:tcPr>
          <w:p w14:paraId="7A0B242B" w14:textId="77777777" w:rsidR="00C54C56" w:rsidRPr="00221498" w:rsidRDefault="00C54C56" w:rsidP="00C87A99">
            <w:pPr>
              <w:pStyle w:val="SOFinalContentTableEquation"/>
              <w:spacing w:before="820"/>
              <w:rPr>
                <w:sz w:val="20"/>
              </w:rPr>
            </w:pPr>
            <w:r w:rsidRPr="00221498">
              <w:rPr>
                <w:position w:val="-24"/>
                <w:lang w:eastAsia="en-US" w:bidi="ar-SA"/>
              </w:rPr>
              <w:object w:dxaOrig="2060" w:dyaOrig="600" w14:anchorId="24A8F00A">
                <v:shape id="_x0000_i1034" type="#_x0000_t75" alt="current assets - inventory over current liabilities" style="width:102.55pt;height:28.55pt" o:ole="" fillcolor="window">
                  <v:imagedata r:id="rId30" o:title=""/>
                </v:shape>
                <o:OLEObject Type="Embed" ProgID="Equation.DSMT4" ShapeID="_x0000_i1034" DrawAspect="Content" ObjectID="_1657350403" r:id="rId31"/>
              </w:object>
            </w:r>
          </w:p>
        </w:tc>
        <w:tc>
          <w:tcPr>
            <w:tcW w:w="1586" w:type="dxa"/>
            <w:tcBorders>
              <w:top w:val="single" w:sz="2" w:space="0" w:color="A6A6A6" w:themeColor="background1" w:themeShade="A6"/>
            </w:tcBorders>
          </w:tcPr>
          <w:p w14:paraId="187786A6" w14:textId="77777777" w:rsidR="00C54C56" w:rsidRPr="00221498" w:rsidRDefault="00C54C56" w:rsidP="00C87A99">
            <w:pPr>
              <w:pStyle w:val="SOFinalContentTableTextCentered"/>
              <w:spacing w:before="900"/>
            </w:pPr>
            <w:r w:rsidRPr="00221498">
              <w:t>ratio</w:t>
            </w:r>
          </w:p>
        </w:tc>
      </w:tr>
      <w:tr w:rsidR="00C54C56" w:rsidRPr="00221498" w14:paraId="7C5D3BEC" w14:textId="77777777" w:rsidTr="00C54C56">
        <w:tc>
          <w:tcPr>
            <w:tcW w:w="3061" w:type="dxa"/>
            <w:gridSpan w:val="2"/>
          </w:tcPr>
          <w:p w14:paraId="7DF2B314" w14:textId="77777777" w:rsidR="00C54C56" w:rsidRPr="00221498" w:rsidRDefault="00C54C56" w:rsidP="00C87A99">
            <w:pPr>
              <w:pStyle w:val="SOFinalContentTableTextUnderBullet"/>
            </w:pPr>
            <w:r w:rsidRPr="00221498">
              <w:t>Working capital</w:t>
            </w:r>
            <w:r>
              <w:t xml:space="preserve"> (current ratio)</w:t>
            </w:r>
          </w:p>
        </w:tc>
        <w:tc>
          <w:tcPr>
            <w:tcW w:w="3353" w:type="dxa"/>
            <w:gridSpan w:val="2"/>
          </w:tcPr>
          <w:p w14:paraId="62CCF6BB" w14:textId="77777777" w:rsidR="00C54C56" w:rsidRPr="00221498" w:rsidRDefault="00C54C56" w:rsidP="00C87A99">
            <w:pPr>
              <w:pStyle w:val="SOFinalContentTableEquation"/>
              <w:rPr>
                <w:sz w:val="20"/>
              </w:rPr>
            </w:pPr>
            <w:r w:rsidRPr="00221498">
              <w:rPr>
                <w:position w:val="-24"/>
                <w:lang w:eastAsia="en-US" w:bidi="ar-SA"/>
              </w:rPr>
              <w:object w:dxaOrig="1380" w:dyaOrig="600" w14:anchorId="000D8881">
                <v:shape id="_x0000_i1035" type="#_x0000_t75" alt="current assets over current liabilities" style="width:69.95pt;height:28.55pt" o:ole="" fillcolor="window">
                  <v:imagedata r:id="rId32" o:title=""/>
                </v:shape>
                <o:OLEObject Type="Embed" ProgID="Equation.DSMT4" ShapeID="_x0000_i1035" DrawAspect="Content" ObjectID="_1657350404" r:id="rId33"/>
              </w:object>
            </w:r>
          </w:p>
        </w:tc>
        <w:tc>
          <w:tcPr>
            <w:tcW w:w="1586" w:type="dxa"/>
          </w:tcPr>
          <w:p w14:paraId="6C22567F" w14:textId="77777777" w:rsidR="00C54C56" w:rsidRPr="00221498" w:rsidRDefault="00C54C56" w:rsidP="00C87A99">
            <w:pPr>
              <w:pStyle w:val="SOFinalContentTableTextCentered"/>
            </w:pPr>
            <w:r w:rsidRPr="00221498">
              <w:t>ratio</w:t>
            </w:r>
          </w:p>
        </w:tc>
      </w:tr>
      <w:tr w:rsidR="00C54C56" w:rsidRPr="00221498" w14:paraId="23193654" w14:textId="77777777" w:rsidTr="00C54C56">
        <w:tc>
          <w:tcPr>
            <w:tcW w:w="3061" w:type="dxa"/>
            <w:gridSpan w:val="2"/>
          </w:tcPr>
          <w:p w14:paraId="1FD0BB42" w14:textId="77777777" w:rsidR="00C54C56" w:rsidRPr="00221498" w:rsidRDefault="00C54C56" w:rsidP="00C87A99">
            <w:pPr>
              <w:pStyle w:val="SOFinalContentTableTextUnderBullet"/>
            </w:pPr>
            <w:r w:rsidRPr="00221498">
              <w:t>Debtors’ turnover</w:t>
            </w:r>
          </w:p>
        </w:tc>
        <w:tc>
          <w:tcPr>
            <w:tcW w:w="3353" w:type="dxa"/>
            <w:gridSpan w:val="2"/>
          </w:tcPr>
          <w:p w14:paraId="25AC8375" w14:textId="77777777" w:rsidR="00C54C56" w:rsidRPr="00221498" w:rsidRDefault="00C54C56" w:rsidP="00C87A99">
            <w:pPr>
              <w:pStyle w:val="SOFinalContentTableEquation"/>
              <w:rPr>
                <w:sz w:val="20"/>
              </w:rPr>
            </w:pPr>
            <w:r w:rsidRPr="00221498">
              <w:rPr>
                <w:position w:val="-20"/>
                <w:lang w:eastAsia="en-US" w:bidi="ar-SA"/>
              </w:rPr>
              <w:object w:dxaOrig="1280" w:dyaOrig="560" w14:anchorId="223A5A50">
                <v:shape id="_x0000_i1036" type="#_x0000_t75" alt="net credit sales over debtors&#10;Footnote: Averages are used for these values. However, the availability of information may necessitate the use of opening or closing values." style="width:63.85pt;height:27.85pt" o:ole="" fillcolor="window">
                  <v:imagedata r:id="rId34" o:title=""/>
                </v:shape>
                <o:OLEObject Type="Embed" ProgID="Equation.DSMT4" ShapeID="_x0000_i1036" DrawAspect="Content" ObjectID="_1657350405" r:id="rId35"/>
              </w:object>
            </w:r>
          </w:p>
        </w:tc>
        <w:tc>
          <w:tcPr>
            <w:tcW w:w="1586" w:type="dxa"/>
          </w:tcPr>
          <w:p w14:paraId="663BE6FC" w14:textId="77777777" w:rsidR="00C54C56" w:rsidRPr="00221498" w:rsidRDefault="00C54C56" w:rsidP="00C87A99">
            <w:pPr>
              <w:pStyle w:val="SOFinalContentTableTextCentered"/>
            </w:pPr>
            <w:r w:rsidRPr="00221498">
              <w:t>times</w:t>
            </w:r>
          </w:p>
        </w:tc>
      </w:tr>
      <w:tr w:rsidR="00C54C56" w:rsidRPr="00221498" w14:paraId="15F06366" w14:textId="77777777" w:rsidTr="00C54C56">
        <w:tc>
          <w:tcPr>
            <w:tcW w:w="3061" w:type="dxa"/>
            <w:gridSpan w:val="2"/>
          </w:tcPr>
          <w:p w14:paraId="1945F3C2" w14:textId="77777777" w:rsidR="00C54C56" w:rsidRPr="00221498" w:rsidRDefault="00C54C56" w:rsidP="00C87A99">
            <w:pPr>
              <w:pStyle w:val="SOFinalContentTableTextUnderBullet"/>
            </w:pPr>
            <w:r w:rsidRPr="00221498">
              <w:t>Inventory turnover</w:t>
            </w:r>
          </w:p>
        </w:tc>
        <w:tc>
          <w:tcPr>
            <w:tcW w:w="3353" w:type="dxa"/>
            <w:gridSpan w:val="2"/>
          </w:tcPr>
          <w:p w14:paraId="2BA518A5" w14:textId="77777777" w:rsidR="00C54C56" w:rsidRPr="00221498" w:rsidRDefault="00C54C56" w:rsidP="00C87A99">
            <w:pPr>
              <w:pStyle w:val="SOFinalContentTableEquation"/>
              <w:rPr>
                <w:sz w:val="20"/>
              </w:rPr>
            </w:pPr>
            <w:r w:rsidRPr="00221498">
              <w:rPr>
                <w:position w:val="-24"/>
                <w:lang w:eastAsia="en-US" w:bidi="ar-SA"/>
              </w:rPr>
              <w:object w:dxaOrig="1520" w:dyaOrig="600" w14:anchorId="33A7714D">
                <v:shape id="_x0000_i1037" type="#_x0000_t75" alt="cost of goods sold over inventory&#10;footnote: Averages are used for these values. However, the availability of information may necessitate the use of opening or closing values." style="width:76.75pt;height:28.55pt" o:ole="" fillcolor="window">
                  <v:imagedata r:id="rId36" o:title=""/>
                </v:shape>
                <o:OLEObject Type="Embed" ProgID="Equation.DSMT4" ShapeID="_x0000_i1037" DrawAspect="Content" ObjectID="_1657350406" r:id="rId37"/>
              </w:object>
            </w:r>
          </w:p>
        </w:tc>
        <w:tc>
          <w:tcPr>
            <w:tcW w:w="1586" w:type="dxa"/>
          </w:tcPr>
          <w:p w14:paraId="77AF2A22" w14:textId="77777777" w:rsidR="00C54C56" w:rsidRPr="00221498" w:rsidRDefault="00C54C56" w:rsidP="00C87A99">
            <w:pPr>
              <w:pStyle w:val="SOFinalContentTableTextCentered"/>
            </w:pPr>
            <w:r w:rsidRPr="00221498">
              <w:t>times</w:t>
            </w:r>
          </w:p>
        </w:tc>
      </w:tr>
      <w:tr w:rsidR="00C54C56" w:rsidRPr="00221498" w14:paraId="382CF45F" w14:textId="77777777" w:rsidTr="00C54C56">
        <w:tc>
          <w:tcPr>
            <w:tcW w:w="304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top w:w="62" w:type="dxa"/>
              <w:left w:w="0" w:type="dxa"/>
              <w:bottom w:w="62" w:type="dxa"/>
              <w:right w:w="0" w:type="dxa"/>
            </w:tcMar>
          </w:tcPr>
          <w:p w14:paraId="4221FC13" w14:textId="77777777" w:rsidR="00C54C56" w:rsidRPr="00221498" w:rsidRDefault="00C54C56" w:rsidP="00C87A99">
            <w:pPr>
              <w:pStyle w:val="SOFinalContentTableHead2"/>
              <w:spacing w:after="0"/>
            </w:pPr>
            <w:r w:rsidRPr="000B1F72">
              <w:rPr>
                <w:sz w:val="16"/>
                <w:szCs w:val="16"/>
              </w:rPr>
              <w:br w:type="page"/>
            </w:r>
            <w:r>
              <w:t>Name</w:t>
            </w:r>
          </w:p>
        </w:tc>
        <w:tc>
          <w:tcPr>
            <w:tcW w:w="3367" w:type="dxa"/>
            <w:gridSpan w:val="3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top w:w="62" w:type="dxa"/>
              <w:left w:w="0" w:type="dxa"/>
              <w:bottom w:w="62" w:type="dxa"/>
              <w:right w:w="0" w:type="dxa"/>
            </w:tcMar>
          </w:tcPr>
          <w:p w14:paraId="2CD02B56" w14:textId="77777777" w:rsidR="00C54C56" w:rsidRPr="00221498" w:rsidRDefault="00C54C56" w:rsidP="00C87A99">
            <w:pPr>
              <w:pStyle w:val="SOFinalContentTableHead2"/>
              <w:spacing w:after="0"/>
            </w:pPr>
            <w:r>
              <w:t>Calculation</w:t>
            </w:r>
          </w:p>
        </w:tc>
        <w:tc>
          <w:tcPr>
            <w:tcW w:w="159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top w:w="62" w:type="dxa"/>
              <w:left w:w="0" w:type="dxa"/>
              <w:bottom w:w="62" w:type="dxa"/>
              <w:right w:w="0" w:type="dxa"/>
            </w:tcMar>
          </w:tcPr>
          <w:p w14:paraId="491B5231" w14:textId="77777777" w:rsidR="00C54C56" w:rsidRPr="00221498" w:rsidRDefault="00C54C56" w:rsidP="00C87A99">
            <w:pPr>
              <w:pStyle w:val="SOFinalContentTableHead2"/>
              <w:spacing w:after="0"/>
            </w:pPr>
            <w:r w:rsidRPr="00221498">
              <w:t>Expressed as</w:t>
            </w:r>
          </w:p>
        </w:tc>
      </w:tr>
      <w:tr w:rsidR="00C54C56" w:rsidRPr="00221498" w14:paraId="7E09CC04" w14:textId="77777777" w:rsidTr="00C54C56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3047" w:type="dxa"/>
          </w:tcPr>
          <w:p w14:paraId="2FA7C0CC" w14:textId="77777777" w:rsidR="00C54C56" w:rsidRDefault="00C54C56" w:rsidP="00C87A99">
            <w:pPr>
              <w:pStyle w:val="SOFinalContentTableHead3"/>
            </w:pPr>
            <w:r w:rsidRPr="00221498">
              <w:t>Financial Stability (Risk), continued</w:t>
            </w:r>
          </w:p>
          <w:p w14:paraId="519C153F" w14:textId="77777777" w:rsidR="00C54C56" w:rsidRDefault="00C54C56" w:rsidP="00C87A99">
            <w:pPr>
              <w:pStyle w:val="SOFinalContentTableText"/>
            </w:pPr>
            <w:r w:rsidRPr="00221498">
              <w:t>Long Term (Solvency)</w:t>
            </w:r>
          </w:p>
          <w:p w14:paraId="6BE7E222" w14:textId="77777777" w:rsidR="00C54C56" w:rsidRPr="00221498" w:rsidRDefault="00C54C56" w:rsidP="00C87A99">
            <w:pPr>
              <w:pStyle w:val="SOFinalContentTableTextUnderBullet"/>
            </w:pPr>
            <w:r>
              <w:t>Debt ratio</w:t>
            </w:r>
          </w:p>
        </w:tc>
        <w:tc>
          <w:tcPr>
            <w:tcW w:w="3359" w:type="dxa"/>
            <w:gridSpan w:val="2"/>
          </w:tcPr>
          <w:p w14:paraId="39DB20CC" w14:textId="77777777" w:rsidR="00C54C56" w:rsidRPr="00221498" w:rsidRDefault="00C54C56" w:rsidP="00C87A99">
            <w:pPr>
              <w:pStyle w:val="SOFinalContentTableEquation"/>
              <w:spacing w:before="780"/>
              <w:rPr>
                <w:sz w:val="20"/>
              </w:rPr>
            </w:pPr>
            <w:r w:rsidRPr="00221498">
              <w:rPr>
                <w:position w:val="-24"/>
                <w:lang w:eastAsia="en-US" w:bidi="ar-SA"/>
              </w:rPr>
              <w:object w:dxaOrig="1180" w:dyaOrig="600" w14:anchorId="39B26DF7">
                <v:shape id="_x0000_i1038" type="#_x0000_t75" alt="total liabilities over total assets" style="width:59.1pt;height:28.55pt" o:ole="" fillcolor="window">
                  <v:imagedata r:id="rId38" o:title=""/>
                </v:shape>
                <o:OLEObject Type="Embed" ProgID="Equation.DSMT4" ShapeID="_x0000_i1038" DrawAspect="Content" ObjectID="_1657350407" r:id="rId39"/>
              </w:object>
            </w:r>
          </w:p>
        </w:tc>
        <w:tc>
          <w:tcPr>
            <w:tcW w:w="1598" w:type="dxa"/>
            <w:gridSpan w:val="2"/>
          </w:tcPr>
          <w:p w14:paraId="2686020F" w14:textId="77777777" w:rsidR="00C54C56" w:rsidRPr="00221498" w:rsidRDefault="00C54C56" w:rsidP="00C87A99">
            <w:pPr>
              <w:pStyle w:val="SOFinalContentTableTextCentered"/>
              <w:spacing w:before="840"/>
            </w:pPr>
            <w:r w:rsidRPr="00221498">
              <w:t>%</w:t>
            </w:r>
          </w:p>
        </w:tc>
      </w:tr>
      <w:tr w:rsidR="00C54C56" w:rsidRPr="00221498" w14:paraId="63F16335" w14:textId="77777777" w:rsidTr="00C54C56">
        <w:tblPrEx>
          <w:tblLook w:val="00A0" w:firstRow="1" w:lastRow="0" w:firstColumn="1" w:lastColumn="0" w:noHBand="0" w:noVBand="0"/>
        </w:tblPrEx>
        <w:tc>
          <w:tcPr>
            <w:tcW w:w="3047" w:type="dxa"/>
          </w:tcPr>
          <w:p w14:paraId="58E4BC19" w14:textId="77777777" w:rsidR="00C54C56" w:rsidRPr="00221498" w:rsidRDefault="00C54C56" w:rsidP="00C87A99">
            <w:pPr>
              <w:pStyle w:val="SOFinalContentTableTextUnderBullet"/>
            </w:pPr>
            <w:r w:rsidRPr="00221498">
              <w:t>Debt/equity</w:t>
            </w:r>
          </w:p>
        </w:tc>
        <w:tc>
          <w:tcPr>
            <w:tcW w:w="3359" w:type="dxa"/>
            <w:gridSpan w:val="2"/>
          </w:tcPr>
          <w:p w14:paraId="5A10F4A8" w14:textId="77777777" w:rsidR="00C54C56" w:rsidRPr="00221498" w:rsidRDefault="00C54C56" w:rsidP="00C87A99">
            <w:pPr>
              <w:pStyle w:val="SOFinalContentTableEquation"/>
              <w:rPr>
                <w:sz w:val="20"/>
              </w:rPr>
            </w:pPr>
            <w:r w:rsidRPr="00221498">
              <w:rPr>
                <w:position w:val="-24"/>
                <w:lang w:eastAsia="en-US" w:bidi="ar-SA"/>
              </w:rPr>
              <w:object w:dxaOrig="1219" w:dyaOrig="600" w14:anchorId="0D317227">
                <v:shape id="_x0000_i1039" type="#_x0000_t75" alt="total liabilities over owner's equity" style="width:60.45pt;height:28.55pt" o:ole="" fillcolor="window">
                  <v:imagedata r:id="rId40" o:title=""/>
                </v:shape>
                <o:OLEObject Type="Embed" ProgID="Equation.DSMT4" ShapeID="_x0000_i1039" DrawAspect="Content" ObjectID="_1657350408" r:id="rId41"/>
              </w:object>
            </w:r>
          </w:p>
        </w:tc>
        <w:tc>
          <w:tcPr>
            <w:tcW w:w="1598" w:type="dxa"/>
            <w:gridSpan w:val="2"/>
          </w:tcPr>
          <w:p w14:paraId="5786A83F" w14:textId="77777777" w:rsidR="00C54C56" w:rsidRPr="00221498" w:rsidRDefault="00C54C56" w:rsidP="00C87A99">
            <w:pPr>
              <w:pStyle w:val="SOFinalContentTableTextCentered"/>
            </w:pPr>
            <w:r w:rsidRPr="00221498">
              <w:t>%</w:t>
            </w:r>
          </w:p>
        </w:tc>
      </w:tr>
      <w:tr w:rsidR="00C54C56" w:rsidRPr="00221498" w14:paraId="271AC3BB" w14:textId="77777777" w:rsidTr="00C54C56">
        <w:tblPrEx>
          <w:tblLook w:val="00A0" w:firstRow="1" w:lastRow="0" w:firstColumn="1" w:lastColumn="0" w:noHBand="0" w:noVBand="0"/>
        </w:tblPrEx>
        <w:tc>
          <w:tcPr>
            <w:tcW w:w="3047" w:type="dxa"/>
          </w:tcPr>
          <w:p w14:paraId="3E77DECA" w14:textId="77777777" w:rsidR="00C54C56" w:rsidRPr="00221498" w:rsidRDefault="00C54C56" w:rsidP="00C87A99">
            <w:pPr>
              <w:pStyle w:val="SOFinalContentTableTextUnderBullet"/>
            </w:pPr>
            <w:r w:rsidRPr="00221498">
              <w:t>Times interest earned</w:t>
            </w:r>
          </w:p>
        </w:tc>
        <w:tc>
          <w:tcPr>
            <w:tcW w:w="3359" w:type="dxa"/>
            <w:gridSpan w:val="2"/>
          </w:tcPr>
          <w:p w14:paraId="17AAD2DD" w14:textId="77777777" w:rsidR="00C54C56" w:rsidRPr="00221498" w:rsidRDefault="00C54C56" w:rsidP="00C87A99">
            <w:pPr>
              <w:pStyle w:val="SOFinalContentTableEquation"/>
              <w:rPr>
                <w:sz w:val="20"/>
              </w:rPr>
            </w:pPr>
            <w:r w:rsidRPr="00221498">
              <w:rPr>
                <w:position w:val="-24"/>
                <w:lang w:eastAsia="en-US" w:bidi="ar-SA"/>
              </w:rPr>
              <w:object w:dxaOrig="1980" w:dyaOrig="600" w14:anchorId="3CF4F857">
                <v:shape id="_x0000_i1040" type="#_x0000_t75" alt="net profit plus interest expense over interest expense" style="width:99.15pt;height:28.55pt" o:ole="" fillcolor="window">
                  <v:imagedata r:id="rId42" o:title=""/>
                </v:shape>
                <o:OLEObject Type="Embed" ProgID="Equation.DSMT4" ShapeID="_x0000_i1040" DrawAspect="Content" ObjectID="_1657350409" r:id="rId43"/>
              </w:object>
            </w:r>
          </w:p>
        </w:tc>
        <w:tc>
          <w:tcPr>
            <w:tcW w:w="1598" w:type="dxa"/>
            <w:gridSpan w:val="2"/>
          </w:tcPr>
          <w:p w14:paraId="0F6815D8" w14:textId="77777777" w:rsidR="00C54C56" w:rsidRPr="00221498" w:rsidRDefault="00C54C56" w:rsidP="00C87A99">
            <w:pPr>
              <w:pStyle w:val="SOFinalContentTableTextCentered"/>
            </w:pPr>
            <w:r w:rsidRPr="00221498">
              <w:t>times</w:t>
            </w:r>
          </w:p>
        </w:tc>
      </w:tr>
    </w:tbl>
    <w:p w14:paraId="48D3A29E" w14:textId="77777777" w:rsidR="00C54C56" w:rsidRPr="00F06352" w:rsidRDefault="00C54C56" w:rsidP="00C54C56">
      <w:pPr>
        <w:pStyle w:val="SOFinalImprintText"/>
        <w:spacing w:before="240"/>
      </w:pPr>
      <w:r w:rsidRPr="00F06352">
        <w:lastRenderedPageBreak/>
        <w:t>* Averages are used for these values. However, the availability of information may necessitate the use of opening or closing values.</w:t>
      </w:r>
    </w:p>
    <w:p w14:paraId="7A125E63" w14:textId="77777777" w:rsidR="00C54C56" w:rsidRDefault="00C54C56" w:rsidP="00C54C56">
      <w:pPr>
        <w:rPr>
          <w:sz w:val="18"/>
          <w:szCs w:val="18"/>
        </w:rPr>
      </w:pPr>
      <w:r w:rsidRPr="00E65344">
        <w:rPr>
          <w:rFonts w:asciiTheme="majorBidi" w:hAnsiTheme="majorBidi" w:cstheme="majorBidi"/>
          <w:position w:val="6"/>
          <w:sz w:val="16"/>
          <w:szCs w:val="16"/>
        </w:rPr>
        <w:t>†</w:t>
      </w:r>
      <w:r w:rsidRPr="000B1F72">
        <w:rPr>
          <w:sz w:val="16"/>
          <w:szCs w:val="16"/>
        </w:rPr>
        <w:t xml:space="preserve"> </w:t>
      </w:r>
      <w:r w:rsidRPr="00E65344">
        <w:rPr>
          <w:sz w:val="18"/>
          <w:szCs w:val="18"/>
        </w:rPr>
        <w:t>Net sales should be used</w:t>
      </w:r>
      <w:r>
        <w:rPr>
          <w:sz w:val="18"/>
          <w:szCs w:val="18"/>
        </w:rPr>
        <w:t>,</w:t>
      </w:r>
      <w:r w:rsidRPr="00E65344">
        <w:rPr>
          <w:sz w:val="18"/>
          <w:szCs w:val="18"/>
        </w:rPr>
        <w:t xml:space="preserve"> except in the case where a business only provides service.</w:t>
      </w:r>
    </w:p>
    <w:p w14:paraId="2DBBF7BF" w14:textId="77777777" w:rsidR="00C54C56" w:rsidRDefault="00C54C56" w:rsidP="00C54C56">
      <w:pPr>
        <w:rPr>
          <w:sz w:val="18"/>
          <w:szCs w:val="18"/>
        </w:rPr>
      </w:pPr>
    </w:p>
    <w:p w14:paraId="1F1C36ED" w14:textId="77777777" w:rsidR="00C54C56" w:rsidRPr="002A6B61" w:rsidRDefault="00C54C56" w:rsidP="00C54C56">
      <w:pPr>
        <w:pStyle w:val="SOFinalHead3"/>
        <w:spacing w:after="240"/>
        <w:rPr>
          <w:sz w:val="22"/>
          <w:szCs w:val="20"/>
        </w:rPr>
      </w:pPr>
      <w:r w:rsidRPr="002A6B61">
        <w:rPr>
          <w:sz w:val="22"/>
          <w:szCs w:val="20"/>
        </w:rPr>
        <w:t>Accounting reports</w:t>
      </w:r>
    </w:p>
    <w:tbl>
      <w:tblPr>
        <w:tblStyle w:val="SOFinalContentTable"/>
        <w:tblW w:w="790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3953"/>
      </w:tblGrid>
      <w:tr w:rsidR="00C54C56" w:rsidRPr="007271FE" w14:paraId="3510D809" w14:textId="77777777" w:rsidTr="00C87A99">
        <w:trPr>
          <w:tblHeader/>
        </w:trPr>
        <w:tc>
          <w:tcPr>
            <w:tcW w:w="395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top w:w="62" w:type="dxa"/>
              <w:bottom w:w="62" w:type="dxa"/>
              <w:right w:w="108" w:type="dxa"/>
            </w:tcMar>
          </w:tcPr>
          <w:p w14:paraId="1873E217" w14:textId="77777777" w:rsidR="00C54C56" w:rsidRPr="007271FE" w:rsidRDefault="00C54C56" w:rsidP="00C87A99">
            <w:pPr>
              <w:pStyle w:val="SOFinalContentTableHead2"/>
              <w:spacing w:after="0"/>
            </w:pPr>
            <w:r w:rsidRPr="007271FE">
              <w:t>Report and purpose</w:t>
            </w:r>
          </w:p>
        </w:tc>
        <w:tc>
          <w:tcPr>
            <w:tcW w:w="395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top w:w="62" w:type="dxa"/>
              <w:left w:w="108" w:type="dxa"/>
              <w:bottom w:w="62" w:type="dxa"/>
            </w:tcMar>
          </w:tcPr>
          <w:p w14:paraId="30B5447A" w14:textId="77777777" w:rsidR="00C54C56" w:rsidRPr="007271FE" w:rsidRDefault="00C54C56" w:rsidP="00C87A99">
            <w:pPr>
              <w:pStyle w:val="SOFinalContentTableHead2"/>
              <w:spacing w:after="0"/>
            </w:pPr>
            <w:r w:rsidRPr="007271FE">
              <w:t>Information</w:t>
            </w:r>
          </w:p>
        </w:tc>
      </w:tr>
      <w:tr w:rsidR="00C54C56" w14:paraId="6612DD9F" w14:textId="77777777" w:rsidTr="00C87A99">
        <w:tc>
          <w:tcPr>
            <w:tcW w:w="395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bottom w:w="62" w:type="dxa"/>
              <w:right w:w="108" w:type="dxa"/>
            </w:tcMar>
          </w:tcPr>
          <w:p w14:paraId="623C9155" w14:textId="77777777" w:rsidR="00C54C56" w:rsidRPr="00B02025" w:rsidRDefault="00C54C56" w:rsidP="00C87A99">
            <w:pPr>
              <w:pStyle w:val="SOFinalContentTableText8ptabove"/>
              <w:rPr>
                <w:rFonts w:ascii="Roboto Medium" w:hAnsi="Roboto Medium"/>
                <w:iCs/>
              </w:rPr>
            </w:pPr>
            <w:r w:rsidRPr="00B02025">
              <w:rPr>
                <w:rFonts w:ascii="Roboto Medium" w:hAnsi="Roboto Medium"/>
                <w:iCs/>
              </w:rPr>
              <w:t>Income statement</w:t>
            </w:r>
          </w:p>
          <w:p w14:paraId="48A04F55" w14:textId="77777777" w:rsidR="00C54C56" w:rsidRDefault="00C54C56" w:rsidP="00C87A99">
            <w:pPr>
              <w:pStyle w:val="SOFinalContentTableText"/>
            </w:pPr>
            <w:r>
              <w:t>The measurement of profit or loss</w:t>
            </w:r>
          </w:p>
        </w:tc>
        <w:tc>
          <w:tcPr>
            <w:tcW w:w="395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08" w:type="dxa"/>
              <w:bottom w:w="62" w:type="dxa"/>
            </w:tcMar>
          </w:tcPr>
          <w:p w14:paraId="49104778" w14:textId="77777777" w:rsidR="00C54C56" w:rsidRDefault="00C54C56" w:rsidP="00C87A99">
            <w:pPr>
              <w:pStyle w:val="SOFinalContentTableBullets"/>
              <w:spacing w:before="160"/>
            </w:pPr>
            <w:r>
              <w:t>Components: revenue and expenses</w:t>
            </w:r>
          </w:p>
          <w:p w14:paraId="1092AD66" w14:textId="77777777" w:rsidR="00C54C56" w:rsidRDefault="00C54C56" w:rsidP="00C87A99">
            <w:pPr>
              <w:pStyle w:val="SOFinalContentTableBullets"/>
            </w:pPr>
            <w:r>
              <w:t>Classification of the components for service and trading entities</w:t>
            </w:r>
          </w:p>
        </w:tc>
      </w:tr>
      <w:tr w:rsidR="00C54C56" w:rsidRPr="00C01827" w14:paraId="469E74A0" w14:textId="77777777" w:rsidTr="00C87A99">
        <w:tc>
          <w:tcPr>
            <w:tcW w:w="395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bottom w:w="62" w:type="dxa"/>
              <w:right w:w="108" w:type="dxa"/>
            </w:tcMar>
          </w:tcPr>
          <w:p w14:paraId="7CCD061C" w14:textId="77777777" w:rsidR="00C54C56" w:rsidRPr="00B02025" w:rsidRDefault="00C54C56" w:rsidP="00C87A99">
            <w:pPr>
              <w:pStyle w:val="SOFinalContentTableText"/>
              <w:rPr>
                <w:rFonts w:ascii="Roboto Medium" w:hAnsi="Roboto Medium"/>
                <w:iCs/>
              </w:rPr>
            </w:pPr>
            <w:r w:rsidRPr="00B02025">
              <w:rPr>
                <w:rFonts w:ascii="Roboto Medium" w:hAnsi="Roboto Medium"/>
                <w:iCs/>
              </w:rPr>
              <w:t>Balance sheet</w:t>
            </w:r>
          </w:p>
          <w:p w14:paraId="607048D8" w14:textId="77777777" w:rsidR="00C54C56" w:rsidRPr="00D41D09" w:rsidRDefault="00C54C56" w:rsidP="00C87A99">
            <w:pPr>
              <w:pStyle w:val="SOFinalContentTableText"/>
            </w:pPr>
            <w:r w:rsidRPr="00BD3AEE">
              <w:t>Statement</w:t>
            </w:r>
            <w:r>
              <w:t xml:space="preserve"> of financial position</w:t>
            </w:r>
          </w:p>
        </w:tc>
        <w:tc>
          <w:tcPr>
            <w:tcW w:w="395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08" w:type="dxa"/>
              <w:bottom w:w="62" w:type="dxa"/>
            </w:tcMar>
          </w:tcPr>
          <w:p w14:paraId="4EA77D3B" w14:textId="77777777" w:rsidR="00C54C56" w:rsidRDefault="00C54C56" w:rsidP="00C87A99">
            <w:pPr>
              <w:pStyle w:val="SOFinalContentTableBullets"/>
              <w:spacing w:before="120"/>
            </w:pPr>
            <w:r>
              <w:t>Components: assets, liabilities, and owner’s equity</w:t>
            </w:r>
          </w:p>
          <w:p w14:paraId="0A7C1674" w14:textId="77777777" w:rsidR="00C54C56" w:rsidRDefault="00C54C56" w:rsidP="00C87A99">
            <w:pPr>
              <w:pStyle w:val="SOFinalContentTableBullets"/>
            </w:pPr>
            <w:r>
              <w:t>The accounting equation</w:t>
            </w:r>
          </w:p>
          <w:p w14:paraId="557627B2" w14:textId="77777777" w:rsidR="00C54C56" w:rsidRDefault="00C54C56" w:rsidP="00C87A99">
            <w:pPr>
              <w:pStyle w:val="SOFinalContentTableBullets"/>
            </w:pPr>
            <w:r>
              <w:t>The concept of duality, showing the effects of transactions on the balance sheet</w:t>
            </w:r>
          </w:p>
          <w:p w14:paraId="30DDC36A" w14:textId="77777777" w:rsidR="00C54C56" w:rsidRPr="00C01827" w:rsidRDefault="00C54C56" w:rsidP="00C87A99">
            <w:pPr>
              <w:pStyle w:val="SOFinalContentTableBullets"/>
            </w:pPr>
            <w:r>
              <w:t>Classification of the components: current and non-current assets, liabilities, and owner’s equity</w:t>
            </w:r>
          </w:p>
        </w:tc>
      </w:tr>
      <w:tr w:rsidR="00C54C56" w:rsidRPr="00347355" w14:paraId="70863134" w14:textId="77777777" w:rsidTr="00C87A99">
        <w:tc>
          <w:tcPr>
            <w:tcW w:w="395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bottom w:w="62" w:type="dxa"/>
              <w:right w:w="108" w:type="dxa"/>
            </w:tcMar>
          </w:tcPr>
          <w:p w14:paraId="47ED0407" w14:textId="77777777" w:rsidR="00C54C56" w:rsidRPr="00B02025" w:rsidRDefault="00C54C56" w:rsidP="00C87A99">
            <w:pPr>
              <w:pStyle w:val="SOFinalContentTableText8ptabove"/>
              <w:rPr>
                <w:rFonts w:ascii="Roboto Medium" w:hAnsi="Roboto Medium"/>
                <w:iCs/>
              </w:rPr>
            </w:pPr>
            <w:r w:rsidRPr="00B02025">
              <w:rPr>
                <w:rFonts w:ascii="Roboto Medium" w:hAnsi="Roboto Medium"/>
                <w:iCs/>
              </w:rPr>
              <w:t>Statement of changes in equity</w:t>
            </w:r>
          </w:p>
        </w:tc>
        <w:tc>
          <w:tcPr>
            <w:tcW w:w="395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08" w:type="dxa"/>
              <w:bottom w:w="62" w:type="dxa"/>
            </w:tcMar>
          </w:tcPr>
          <w:p w14:paraId="6AC05B94" w14:textId="77777777" w:rsidR="00C54C56" w:rsidRPr="00347355" w:rsidRDefault="00C54C56" w:rsidP="00C87A99">
            <w:pPr>
              <w:pStyle w:val="SOFinalContentTableBullets"/>
              <w:spacing w:before="160"/>
            </w:pPr>
            <w:r w:rsidRPr="00BD3AEE">
              <w:t>Components: opening and closing capital, capital contributions, drawings, profit or loss.</w:t>
            </w:r>
          </w:p>
        </w:tc>
      </w:tr>
      <w:tr w:rsidR="00C54C56" w14:paraId="238DCE7E" w14:textId="77777777" w:rsidTr="00C87A99">
        <w:trPr>
          <w:trHeight w:val="745"/>
        </w:trPr>
        <w:tc>
          <w:tcPr>
            <w:tcW w:w="395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bottom w:w="62" w:type="dxa"/>
              <w:right w:w="108" w:type="dxa"/>
            </w:tcMar>
          </w:tcPr>
          <w:p w14:paraId="671A7C11" w14:textId="77777777" w:rsidR="00C54C56" w:rsidRPr="00B02025" w:rsidRDefault="00C54C56" w:rsidP="00C87A99">
            <w:pPr>
              <w:pStyle w:val="SOFinalContentTableText8ptabove"/>
              <w:rPr>
                <w:rFonts w:ascii="Roboto Medium" w:hAnsi="Roboto Medium"/>
                <w:iCs/>
              </w:rPr>
            </w:pPr>
            <w:r w:rsidRPr="00B02025">
              <w:rPr>
                <w:rFonts w:ascii="Roboto Medium" w:hAnsi="Roboto Medium"/>
                <w:iCs/>
              </w:rPr>
              <w:t>Statement of cash flows</w:t>
            </w:r>
          </w:p>
          <w:p w14:paraId="7E1692D4" w14:textId="77777777" w:rsidR="00C54C56" w:rsidRDefault="00C54C56" w:rsidP="00C87A99">
            <w:pPr>
              <w:pStyle w:val="SOFinalContentTableText"/>
            </w:pPr>
            <w:r>
              <w:t>Sources of cash inflows and outflows</w:t>
            </w:r>
          </w:p>
        </w:tc>
        <w:tc>
          <w:tcPr>
            <w:tcW w:w="395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08" w:type="dxa"/>
              <w:bottom w:w="62" w:type="dxa"/>
            </w:tcMar>
          </w:tcPr>
          <w:p w14:paraId="430BDC7B" w14:textId="77777777" w:rsidR="00C54C56" w:rsidRDefault="00C54C56" w:rsidP="00C87A99">
            <w:pPr>
              <w:pStyle w:val="SOFinalContentTableBullets"/>
              <w:spacing w:before="160"/>
            </w:pPr>
            <w:r>
              <w:t>Components: cash (sources and uses)</w:t>
            </w:r>
          </w:p>
          <w:p w14:paraId="39163220" w14:textId="77777777" w:rsidR="00C54C56" w:rsidRDefault="00C54C56" w:rsidP="00C87A99">
            <w:pPr>
              <w:pStyle w:val="SOFinalContentTableBullets"/>
            </w:pPr>
            <w:r>
              <w:t>Differences between net profit and net cash flows in an accrual accounting system</w:t>
            </w:r>
          </w:p>
        </w:tc>
      </w:tr>
    </w:tbl>
    <w:p w14:paraId="12377B96" w14:textId="77777777" w:rsidR="00C54C56" w:rsidRDefault="00C54C56" w:rsidP="00C54C56"/>
    <w:p w14:paraId="758CEBBA" w14:textId="77777777" w:rsidR="00C54C56" w:rsidRDefault="00C54C56" w:rsidP="00C54C56">
      <w:pPr>
        <w:pStyle w:val="SOFinalHead3"/>
        <w:spacing w:after="240"/>
      </w:pPr>
    </w:p>
    <w:p w14:paraId="3A3C2E4A" w14:textId="77777777" w:rsidR="00C54C56" w:rsidRPr="002A6B61" w:rsidRDefault="00C54C56" w:rsidP="00C54C56">
      <w:pPr>
        <w:pStyle w:val="SOFinalHead3"/>
        <w:spacing w:after="240"/>
        <w:rPr>
          <w:sz w:val="22"/>
          <w:szCs w:val="20"/>
        </w:rPr>
      </w:pPr>
      <w:r w:rsidRPr="002A6B61">
        <w:rPr>
          <w:sz w:val="22"/>
          <w:szCs w:val="20"/>
        </w:rPr>
        <w:t>Links between accounting reports</w:t>
      </w:r>
    </w:p>
    <w:tbl>
      <w:tblPr>
        <w:tblStyle w:val="SOFinalContentTable"/>
        <w:tblW w:w="790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3953"/>
      </w:tblGrid>
      <w:tr w:rsidR="00C54C56" w:rsidRPr="006124DB" w14:paraId="2848A2C0" w14:textId="77777777" w:rsidTr="00C87A99">
        <w:trPr>
          <w:tblHeader/>
        </w:trPr>
        <w:tc>
          <w:tcPr>
            <w:tcW w:w="3952" w:type="dxa"/>
            <w:tcMar>
              <w:top w:w="62" w:type="dxa"/>
              <w:bottom w:w="62" w:type="dxa"/>
              <w:right w:w="108" w:type="dxa"/>
            </w:tcMar>
          </w:tcPr>
          <w:p w14:paraId="31C8A021" w14:textId="77777777" w:rsidR="00C54C56" w:rsidRPr="006124DB" w:rsidRDefault="00C54C56" w:rsidP="00C87A99">
            <w:pPr>
              <w:pStyle w:val="SOFinalContentTableHead2"/>
              <w:spacing w:after="0"/>
            </w:pPr>
            <w:r>
              <w:t xml:space="preserve">Reports </w:t>
            </w:r>
          </w:p>
        </w:tc>
        <w:tc>
          <w:tcPr>
            <w:tcW w:w="3953" w:type="dxa"/>
            <w:tcMar>
              <w:top w:w="62" w:type="dxa"/>
              <w:left w:w="108" w:type="dxa"/>
              <w:bottom w:w="62" w:type="dxa"/>
            </w:tcMar>
          </w:tcPr>
          <w:p w14:paraId="78B3E442" w14:textId="77777777" w:rsidR="00C54C56" w:rsidRPr="006124DB" w:rsidRDefault="00C54C56" w:rsidP="00C87A99">
            <w:pPr>
              <w:pStyle w:val="SOFinalContentTableHead2"/>
              <w:spacing w:after="0"/>
            </w:pPr>
            <w:r>
              <w:t>Links</w:t>
            </w:r>
          </w:p>
        </w:tc>
      </w:tr>
      <w:tr w:rsidR="00C54C56" w:rsidRPr="00C01827" w14:paraId="246B9466" w14:textId="77777777" w:rsidTr="00C87A99">
        <w:tc>
          <w:tcPr>
            <w:tcW w:w="3952" w:type="dxa"/>
            <w:tcMar>
              <w:bottom w:w="62" w:type="dxa"/>
              <w:right w:w="108" w:type="dxa"/>
            </w:tcMar>
          </w:tcPr>
          <w:p w14:paraId="05987373" w14:textId="77777777" w:rsidR="00C54C56" w:rsidRPr="004D64A5" w:rsidRDefault="00C54C56" w:rsidP="00C87A99">
            <w:pPr>
              <w:pStyle w:val="SOFinalContentTableText"/>
            </w:pPr>
            <w:r w:rsidRPr="004D64A5">
              <w:t xml:space="preserve">Income statement </w:t>
            </w:r>
            <w:r w:rsidRPr="004606E7">
              <w:rPr>
                <w:i/>
              </w:rPr>
              <w:t>and</w:t>
            </w:r>
            <w:r w:rsidRPr="004D64A5">
              <w:t xml:space="preserve"> statement of changes in equity</w:t>
            </w:r>
          </w:p>
        </w:tc>
        <w:tc>
          <w:tcPr>
            <w:tcW w:w="3953" w:type="dxa"/>
            <w:tcMar>
              <w:left w:w="108" w:type="dxa"/>
              <w:bottom w:w="62" w:type="dxa"/>
            </w:tcMar>
          </w:tcPr>
          <w:p w14:paraId="4491B222" w14:textId="77777777" w:rsidR="00C54C56" w:rsidRPr="00C01827" w:rsidRDefault="00C54C56" w:rsidP="00C87A99">
            <w:pPr>
              <w:pStyle w:val="SOFinalContentTableText"/>
            </w:pPr>
            <w:r w:rsidRPr="004D64A5">
              <w:t>Calculation of profit</w:t>
            </w:r>
          </w:p>
        </w:tc>
      </w:tr>
      <w:tr w:rsidR="00C54C56" w:rsidRPr="00347355" w14:paraId="4FAFFB78" w14:textId="77777777" w:rsidTr="00C87A99">
        <w:tc>
          <w:tcPr>
            <w:tcW w:w="3952" w:type="dxa"/>
            <w:tcMar>
              <w:bottom w:w="62" w:type="dxa"/>
              <w:right w:w="108" w:type="dxa"/>
            </w:tcMar>
          </w:tcPr>
          <w:p w14:paraId="4E28E2EC" w14:textId="77777777" w:rsidR="00C54C56" w:rsidRPr="004D64A5" w:rsidRDefault="00C54C56" w:rsidP="00C87A99">
            <w:pPr>
              <w:pStyle w:val="SOFinalContentTableText8ptabove"/>
            </w:pPr>
            <w:r w:rsidRPr="004D64A5">
              <w:t xml:space="preserve">Income statement </w:t>
            </w:r>
            <w:r w:rsidRPr="004606E7">
              <w:rPr>
                <w:i/>
              </w:rPr>
              <w:t>and</w:t>
            </w:r>
            <w:r w:rsidRPr="004D64A5">
              <w:t xml:space="preserve"> ba</w:t>
            </w:r>
            <w:bookmarkStart w:id="0" w:name="_GoBack"/>
            <w:bookmarkEnd w:id="0"/>
            <w:r w:rsidRPr="004D64A5">
              <w:t>lance sheet</w:t>
            </w:r>
          </w:p>
        </w:tc>
        <w:tc>
          <w:tcPr>
            <w:tcW w:w="3953" w:type="dxa"/>
            <w:tcMar>
              <w:left w:w="108" w:type="dxa"/>
              <w:bottom w:w="62" w:type="dxa"/>
            </w:tcMar>
          </w:tcPr>
          <w:p w14:paraId="119657B8" w14:textId="77777777" w:rsidR="00C54C56" w:rsidRPr="00347355" w:rsidRDefault="00C54C56" w:rsidP="00C87A99">
            <w:pPr>
              <w:pStyle w:val="SOFinalContentTableText"/>
            </w:pPr>
            <w:r w:rsidRPr="004D64A5">
              <w:t>Impact of profit on</w:t>
            </w:r>
            <w:r>
              <w:t xml:space="preserve"> the</w:t>
            </w:r>
            <w:r w:rsidRPr="004D64A5">
              <w:t xml:space="preserve"> entity’s equity position</w:t>
            </w:r>
          </w:p>
        </w:tc>
      </w:tr>
      <w:tr w:rsidR="00C54C56" w14:paraId="5A4408F7" w14:textId="77777777" w:rsidTr="00C87A99">
        <w:tc>
          <w:tcPr>
            <w:tcW w:w="3952" w:type="dxa"/>
            <w:tcMar>
              <w:bottom w:w="62" w:type="dxa"/>
              <w:right w:w="108" w:type="dxa"/>
            </w:tcMar>
          </w:tcPr>
          <w:p w14:paraId="2D4F0B54" w14:textId="77777777" w:rsidR="00C54C56" w:rsidRPr="004D64A5" w:rsidRDefault="00C54C56" w:rsidP="00C87A99">
            <w:pPr>
              <w:pStyle w:val="SOFinalContentTableText8ptabove"/>
            </w:pPr>
            <w:r w:rsidRPr="004D64A5">
              <w:t xml:space="preserve">Income statement </w:t>
            </w:r>
            <w:r w:rsidRPr="004606E7">
              <w:rPr>
                <w:i/>
              </w:rPr>
              <w:t>and</w:t>
            </w:r>
            <w:r w:rsidRPr="004D64A5">
              <w:t xml:space="preserve"> statement of cash flows</w:t>
            </w:r>
          </w:p>
        </w:tc>
        <w:tc>
          <w:tcPr>
            <w:tcW w:w="3953" w:type="dxa"/>
            <w:tcMar>
              <w:left w:w="108" w:type="dxa"/>
              <w:bottom w:w="62" w:type="dxa"/>
            </w:tcMar>
          </w:tcPr>
          <w:p w14:paraId="4C725C19" w14:textId="77777777" w:rsidR="00C54C56" w:rsidRDefault="00C54C56" w:rsidP="00C87A99">
            <w:pPr>
              <w:pStyle w:val="SOFinalContentTableText"/>
            </w:pPr>
            <w:r w:rsidRPr="004D64A5">
              <w:t>Cash versus accrual representation of periodic flows (especially from operations)</w:t>
            </w:r>
          </w:p>
        </w:tc>
      </w:tr>
      <w:tr w:rsidR="00C54C56" w14:paraId="0DF69F3D" w14:textId="77777777" w:rsidTr="00C87A99">
        <w:trPr>
          <w:trHeight w:val="466"/>
        </w:trPr>
        <w:tc>
          <w:tcPr>
            <w:tcW w:w="3952" w:type="dxa"/>
            <w:tcMar>
              <w:bottom w:w="62" w:type="dxa"/>
              <w:right w:w="108" w:type="dxa"/>
            </w:tcMar>
          </w:tcPr>
          <w:p w14:paraId="7F18DC6B" w14:textId="77777777" w:rsidR="00C54C56" w:rsidRPr="004D64A5" w:rsidRDefault="00C54C56" w:rsidP="00C87A99">
            <w:pPr>
              <w:pStyle w:val="SOFinalContentTableText8ptabove"/>
            </w:pPr>
            <w:r>
              <w:t>B</w:t>
            </w:r>
            <w:r w:rsidRPr="004D64A5">
              <w:t xml:space="preserve">alance sheet </w:t>
            </w:r>
            <w:r w:rsidRPr="004606E7">
              <w:rPr>
                <w:i/>
              </w:rPr>
              <w:t>and</w:t>
            </w:r>
            <w:r w:rsidRPr="004D64A5">
              <w:t xml:space="preserve"> </w:t>
            </w:r>
            <w:r>
              <w:t>s</w:t>
            </w:r>
            <w:r w:rsidRPr="004D64A5">
              <w:t xml:space="preserve">tatement of changes in equity </w:t>
            </w:r>
          </w:p>
        </w:tc>
        <w:tc>
          <w:tcPr>
            <w:tcW w:w="3953" w:type="dxa"/>
            <w:tcMar>
              <w:left w:w="108" w:type="dxa"/>
              <w:bottom w:w="62" w:type="dxa"/>
            </w:tcMar>
          </w:tcPr>
          <w:p w14:paraId="77CCFC43" w14:textId="77777777" w:rsidR="00C54C56" w:rsidRDefault="00C54C56" w:rsidP="00C87A99">
            <w:pPr>
              <w:pStyle w:val="SOFinalContentTableText"/>
            </w:pPr>
            <w:r w:rsidRPr="004D64A5">
              <w:t>End of period equity position of the entity</w:t>
            </w:r>
          </w:p>
        </w:tc>
      </w:tr>
      <w:tr w:rsidR="00C54C56" w14:paraId="470685BA" w14:textId="77777777" w:rsidTr="00C87A99">
        <w:trPr>
          <w:trHeight w:val="369"/>
        </w:trPr>
        <w:tc>
          <w:tcPr>
            <w:tcW w:w="3952" w:type="dxa"/>
            <w:tcMar>
              <w:bottom w:w="62" w:type="dxa"/>
              <w:right w:w="108" w:type="dxa"/>
            </w:tcMar>
          </w:tcPr>
          <w:p w14:paraId="4947953E" w14:textId="77777777" w:rsidR="00C54C56" w:rsidRPr="004D64A5" w:rsidRDefault="00C54C56" w:rsidP="00C87A99">
            <w:pPr>
              <w:pStyle w:val="SOFinalContentTableText8ptabove"/>
            </w:pPr>
            <w:r>
              <w:t>B</w:t>
            </w:r>
            <w:r w:rsidRPr="004D64A5">
              <w:t xml:space="preserve">alance sheet </w:t>
            </w:r>
            <w:r w:rsidRPr="004606E7">
              <w:rPr>
                <w:i/>
              </w:rPr>
              <w:t>and</w:t>
            </w:r>
            <w:r w:rsidRPr="004D64A5">
              <w:t xml:space="preserve"> </w:t>
            </w:r>
            <w:r>
              <w:t>s</w:t>
            </w:r>
            <w:r w:rsidRPr="004D64A5">
              <w:t xml:space="preserve">tatement of cash flows </w:t>
            </w:r>
          </w:p>
        </w:tc>
        <w:tc>
          <w:tcPr>
            <w:tcW w:w="3953" w:type="dxa"/>
            <w:tcMar>
              <w:left w:w="108" w:type="dxa"/>
              <w:bottom w:w="62" w:type="dxa"/>
            </w:tcMar>
          </w:tcPr>
          <w:p w14:paraId="5A353A32" w14:textId="77777777" w:rsidR="00C54C56" w:rsidRPr="004D64A5" w:rsidRDefault="00C54C56" w:rsidP="00C87A99">
            <w:pPr>
              <w:pStyle w:val="SOFinalContentTableText"/>
            </w:pPr>
            <w:r w:rsidRPr="004D64A5">
              <w:t>Flow analysis of change in cash position over a period</w:t>
            </w:r>
          </w:p>
        </w:tc>
      </w:tr>
    </w:tbl>
    <w:p w14:paraId="60450A2F" w14:textId="77777777" w:rsidR="00C54C56" w:rsidRDefault="00C54C56"/>
    <w:sectPr w:rsidR="00C54C56" w:rsidSect="00C54C56">
      <w:footerReference w:type="default" r:id="rId44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EA24F" w14:textId="77777777" w:rsidR="00AB5406" w:rsidRDefault="00AB5406" w:rsidP="002A6B61">
      <w:pPr>
        <w:spacing w:after="0" w:line="240" w:lineRule="auto"/>
      </w:pPr>
      <w:r>
        <w:separator/>
      </w:r>
    </w:p>
  </w:endnote>
  <w:endnote w:type="continuationSeparator" w:id="0">
    <w:p w14:paraId="1D4EFB02" w14:textId="77777777" w:rsidR="00AB5406" w:rsidRDefault="00AB5406" w:rsidP="002A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120B1BBF-3F47-4D2F-B034-9DF1930C4E84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  <w:embedRegular r:id="rId2" w:fontKey="{C2BD2B50-DEED-4C74-8004-719FFD9BC630}"/>
    <w:embedItalic r:id="rId3" w:fontKey="{59991F28-52A9-43F1-A408-FE5022E1D048}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  <w:embedRegular r:id="rId4" w:fontKey="{AE8FC309-A505-4A0F-A992-86BA6371768B}"/>
    <w:embedItalic r:id="rId5" w:fontKey="{3CDADD91-B879-4DB5-83E2-9102DE26A766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6" w:fontKey="{5A140F2A-2899-49AA-A17B-2DDCCDBE944F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51AE2" w14:textId="08D9C82F" w:rsidR="00243CE3" w:rsidRPr="00243CE3" w:rsidRDefault="00243CE3">
    <w:pPr>
      <w:pStyle w:val="Footer"/>
      <w:rPr>
        <w:rFonts w:ascii="Roboto" w:hAnsi="Roboto" w:cs="Arial"/>
        <w:sz w:val="16"/>
      </w:rPr>
    </w:pPr>
    <w:r w:rsidRPr="00243CE3">
      <w:rPr>
        <w:rFonts w:ascii="Roboto" w:hAnsi="Roboto" w:cs="Arial"/>
        <w:sz w:val="16"/>
      </w:rPr>
      <w:t xml:space="preserve">Ref: </w:t>
    </w:r>
    <w:r w:rsidRPr="00243CE3">
      <w:rPr>
        <w:rFonts w:ascii="Roboto" w:hAnsi="Roboto" w:cs="Arial"/>
        <w:sz w:val="16"/>
      </w:rPr>
      <w:fldChar w:fldCharType="begin"/>
    </w:r>
    <w:r w:rsidRPr="00243CE3">
      <w:rPr>
        <w:rFonts w:ascii="Roboto" w:hAnsi="Roboto" w:cs="Arial"/>
        <w:sz w:val="16"/>
      </w:rPr>
      <w:instrText xml:space="preserve"> DOCPROPERTY  Objective-Id  \* MERGEFORMAT </w:instrText>
    </w:r>
    <w:r w:rsidRPr="00243CE3">
      <w:rPr>
        <w:rFonts w:ascii="Roboto" w:hAnsi="Roboto" w:cs="Arial"/>
        <w:sz w:val="16"/>
      </w:rPr>
      <w:fldChar w:fldCharType="separate"/>
    </w:r>
    <w:r w:rsidR="00F80D99">
      <w:rPr>
        <w:rFonts w:ascii="Roboto" w:hAnsi="Roboto" w:cs="Arial"/>
        <w:sz w:val="16"/>
      </w:rPr>
      <w:t>A925159</w:t>
    </w:r>
    <w:r w:rsidRPr="00243CE3">
      <w:rPr>
        <w:rFonts w:ascii="Roboto" w:hAnsi="Roboto" w:cs="Arial"/>
        <w:sz w:val="16"/>
      </w:rPr>
      <w:fldChar w:fldCharType="end"/>
    </w:r>
    <w:r w:rsidRPr="00243CE3">
      <w:rPr>
        <w:rFonts w:ascii="Roboto" w:hAnsi="Roboto" w:cs="Arial"/>
        <w:sz w:val="16"/>
      </w:rPr>
      <w:t xml:space="preserve">, </w:t>
    </w:r>
    <w:r w:rsidRPr="00243CE3">
      <w:rPr>
        <w:rFonts w:ascii="Roboto" w:hAnsi="Roboto" w:cs="Arial"/>
        <w:sz w:val="16"/>
      </w:rPr>
      <w:fldChar w:fldCharType="begin"/>
    </w:r>
    <w:r w:rsidRPr="00243CE3">
      <w:rPr>
        <w:rFonts w:ascii="Roboto" w:hAnsi="Roboto" w:cs="Arial"/>
        <w:sz w:val="16"/>
      </w:rPr>
      <w:instrText xml:space="preserve"> DOCPROPERTY  Objective-Version  \* MERGEFORMAT </w:instrText>
    </w:r>
    <w:r w:rsidRPr="00243CE3">
      <w:rPr>
        <w:rFonts w:ascii="Roboto" w:hAnsi="Roboto" w:cs="Arial"/>
        <w:sz w:val="16"/>
      </w:rPr>
      <w:fldChar w:fldCharType="separate"/>
    </w:r>
    <w:r w:rsidR="00F80D99">
      <w:rPr>
        <w:rFonts w:ascii="Roboto" w:hAnsi="Roboto" w:cs="Arial"/>
        <w:sz w:val="16"/>
      </w:rPr>
      <w:t>2.0</w:t>
    </w:r>
    <w:r w:rsidRPr="00243CE3">
      <w:rPr>
        <w:rFonts w:ascii="Roboto" w:hAnsi="Roboto" w:cs="Arial"/>
        <w:sz w:val="16"/>
      </w:rPr>
      <w:fldChar w:fldCharType="end"/>
    </w:r>
    <w:r w:rsidRPr="00243CE3">
      <w:rPr>
        <w:rFonts w:ascii="Roboto" w:hAnsi="Roboto" w:cs="Arial"/>
        <w:sz w:val="16"/>
      </w:rPr>
      <w:tab/>
    </w:r>
    <w:r w:rsidRPr="00243CE3">
      <w:rPr>
        <w:rFonts w:ascii="Roboto" w:hAnsi="Roboto" w:cs="Arial"/>
        <w:sz w:val="16"/>
      </w:rPr>
      <w:tab/>
    </w:r>
    <w:r w:rsidRPr="00243CE3">
      <w:rPr>
        <w:rFonts w:ascii="Roboto" w:hAnsi="Roboto" w:cs="Arial"/>
        <w:sz w:val="16"/>
      </w:rPr>
      <w:fldChar w:fldCharType="begin"/>
    </w:r>
    <w:r w:rsidRPr="00243CE3">
      <w:rPr>
        <w:rFonts w:ascii="Roboto" w:hAnsi="Roboto" w:cs="Arial"/>
        <w:sz w:val="16"/>
      </w:rPr>
      <w:instrText xml:space="preserve"> PAGE  \* MERGEFORMAT </w:instrText>
    </w:r>
    <w:r w:rsidRPr="00243CE3">
      <w:rPr>
        <w:rFonts w:ascii="Roboto" w:hAnsi="Roboto" w:cs="Arial"/>
        <w:sz w:val="16"/>
      </w:rPr>
      <w:fldChar w:fldCharType="separate"/>
    </w:r>
    <w:r w:rsidRPr="00243CE3">
      <w:rPr>
        <w:rFonts w:ascii="Roboto" w:hAnsi="Roboto" w:cs="Arial"/>
        <w:noProof/>
        <w:sz w:val="16"/>
      </w:rPr>
      <w:t>2</w:t>
    </w:r>
    <w:r w:rsidRPr="00243CE3">
      <w:rPr>
        <w:rFonts w:ascii="Roboto" w:hAnsi="Roboto" w:cs="Arial"/>
        <w:sz w:val="16"/>
      </w:rPr>
      <w:fldChar w:fldCharType="end"/>
    </w:r>
    <w:r w:rsidRPr="00243CE3">
      <w:rPr>
        <w:rFonts w:ascii="Roboto" w:hAnsi="Roboto" w:cs="Arial"/>
        <w:sz w:val="16"/>
      </w:rPr>
      <w:t xml:space="preserve"> of </w:t>
    </w:r>
    <w:r w:rsidRPr="00243CE3">
      <w:rPr>
        <w:rFonts w:ascii="Roboto" w:hAnsi="Roboto" w:cs="Arial"/>
        <w:sz w:val="16"/>
      </w:rPr>
      <w:fldChar w:fldCharType="begin"/>
    </w:r>
    <w:r w:rsidRPr="00243CE3">
      <w:rPr>
        <w:rFonts w:ascii="Roboto" w:hAnsi="Roboto" w:cs="Arial"/>
        <w:sz w:val="16"/>
      </w:rPr>
      <w:instrText xml:space="preserve"> NUMPAGES  \* MERGEFORMAT </w:instrText>
    </w:r>
    <w:r w:rsidRPr="00243CE3">
      <w:rPr>
        <w:rFonts w:ascii="Roboto" w:hAnsi="Roboto" w:cs="Arial"/>
        <w:sz w:val="16"/>
      </w:rPr>
      <w:fldChar w:fldCharType="separate"/>
    </w:r>
    <w:r w:rsidRPr="00243CE3">
      <w:rPr>
        <w:rFonts w:ascii="Roboto" w:hAnsi="Roboto" w:cs="Arial"/>
        <w:noProof/>
        <w:sz w:val="16"/>
      </w:rPr>
      <w:t>2</w:t>
    </w:r>
    <w:r w:rsidRPr="00243CE3">
      <w:rPr>
        <w:rFonts w:ascii="Roboto" w:hAnsi="Roboto" w:cs="Arial"/>
        <w:sz w:val="16"/>
      </w:rPr>
      <w:fldChar w:fldCharType="end"/>
    </w:r>
  </w:p>
  <w:p w14:paraId="7BE2DFE1" w14:textId="510019B9" w:rsidR="00243CE3" w:rsidRPr="00243CE3" w:rsidRDefault="00243CE3">
    <w:pPr>
      <w:pStyle w:val="Footer"/>
      <w:rPr>
        <w:rFonts w:ascii="Roboto" w:hAnsi="Roboto"/>
      </w:rPr>
    </w:pPr>
    <w:r w:rsidRPr="00243CE3">
      <w:rPr>
        <w:rFonts w:ascii="Roboto" w:hAnsi="Roboto" w:cs="Arial"/>
        <w:sz w:val="16"/>
      </w:rPr>
      <w:t xml:space="preserve">Last Updated: </w:t>
    </w:r>
    <w:r w:rsidRPr="00243CE3">
      <w:rPr>
        <w:rFonts w:ascii="Roboto" w:hAnsi="Roboto" w:cs="Arial"/>
        <w:sz w:val="16"/>
      </w:rPr>
      <w:fldChar w:fldCharType="begin"/>
    </w:r>
    <w:r w:rsidRPr="00243CE3">
      <w:rPr>
        <w:rFonts w:ascii="Roboto" w:hAnsi="Roboto" w:cs="Arial"/>
        <w:sz w:val="16"/>
      </w:rPr>
      <w:instrText xml:space="preserve"> DOCPROPERTY  LastSavedTime  \* MERGEFORMAT </w:instrText>
    </w:r>
    <w:r w:rsidRPr="00243CE3">
      <w:rPr>
        <w:rFonts w:ascii="Roboto" w:hAnsi="Roboto" w:cs="Arial"/>
        <w:sz w:val="16"/>
      </w:rPr>
      <w:fldChar w:fldCharType="separate"/>
    </w:r>
    <w:r w:rsidR="00F80D99">
      <w:rPr>
        <w:rFonts w:ascii="Roboto" w:hAnsi="Roboto" w:cs="Arial"/>
        <w:sz w:val="16"/>
      </w:rPr>
      <w:t>27/07/2020 10:19 AM</w:t>
    </w:r>
    <w:r w:rsidRPr="00243CE3">
      <w:rPr>
        <w:rFonts w:ascii="Roboto" w:hAnsi="Roboto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3707E" w14:textId="77777777" w:rsidR="00AB5406" w:rsidRDefault="00AB5406" w:rsidP="002A6B61">
      <w:pPr>
        <w:spacing w:after="0" w:line="240" w:lineRule="auto"/>
      </w:pPr>
      <w:r>
        <w:separator/>
      </w:r>
    </w:p>
  </w:footnote>
  <w:footnote w:type="continuationSeparator" w:id="0">
    <w:p w14:paraId="1345C7B1" w14:textId="77777777" w:rsidR="00AB5406" w:rsidRDefault="00AB5406" w:rsidP="002A6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754E"/>
    <w:multiLevelType w:val="hybridMultilevel"/>
    <w:tmpl w:val="F25A1352"/>
    <w:lvl w:ilvl="0" w:tplc="62D2AA2C">
      <w:start w:val="1"/>
      <w:numFmt w:val="bullet"/>
      <w:pStyle w:val="SOFinalContentTable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C56"/>
    <w:rsid w:val="00243CE3"/>
    <w:rsid w:val="002A6B61"/>
    <w:rsid w:val="00574FBC"/>
    <w:rsid w:val="007B1E31"/>
    <w:rsid w:val="007C4F10"/>
    <w:rsid w:val="00A21AB3"/>
    <w:rsid w:val="00AB5406"/>
    <w:rsid w:val="00C54C56"/>
    <w:rsid w:val="00CD66EA"/>
    <w:rsid w:val="00EC4A1D"/>
    <w:rsid w:val="00F8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17940"/>
  <w15:chartTrackingRefBased/>
  <w15:docId w15:val="{B89C3F5B-9F3B-46C1-92D5-A145EF9B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OFinalContentTable">
    <w:name w:val="SO Final Content Table"/>
    <w:basedOn w:val="TableNormal"/>
    <w:rsid w:val="00C54C5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</w:tblPr>
    <w:trPr>
      <w:cantSplit/>
      <w:jc w:val="center"/>
    </w:trPr>
    <w:tcPr>
      <w:tcMar>
        <w:bottom w:w="0" w:type="dxa"/>
      </w:tcMar>
    </w:tcPr>
  </w:style>
  <w:style w:type="paragraph" w:customStyle="1" w:styleId="SOFinalContentTableHead2">
    <w:name w:val="SO Final Content Table Head 2"/>
    <w:rsid w:val="00C54C56"/>
    <w:pPr>
      <w:spacing w:after="120" w:line="240" w:lineRule="auto"/>
      <w:jc w:val="center"/>
    </w:pPr>
    <w:rPr>
      <w:rFonts w:ascii="Roboto Medium" w:eastAsia="SimSun" w:hAnsi="Roboto Medium" w:cs="Times New Roman"/>
      <w:sz w:val="24"/>
      <w:szCs w:val="24"/>
      <w:lang w:eastAsia="zh-CN"/>
    </w:rPr>
  </w:style>
  <w:style w:type="paragraph" w:customStyle="1" w:styleId="SOFinalContentTableText">
    <w:name w:val="SO Final Content Table Text"/>
    <w:link w:val="SOFinalContentTableTextChar"/>
    <w:rsid w:val="00C54C56"/>
    <w:pPr>
      <w:spacing w:before="120" w:after="0" w:line="240" w:lineRule="auto"/>
    </w:pPr>
    <w:rPr>
      <w:rFonts w:ascii="Roboto Light" w:eastAsia="Times New Roman" w:hAnsi="Roboto Light" w:cs="Times New Roman"/>
      <w:color w:val="000000"/>
      <w:sz w:val="18"/>
      <w:szCs w:val="24"/>
      <w:lang w:val="en-US"/>
    </w:rPr>
  </w:style>
  <w:style w:type="paragraph" w:customStyle="1" w:styleId="SOFinalContentTableBullets">
    <w:name w:val="SO Final Content Table Bullets"/>
    <w:rsid w:val="00C54C56"/>
    <w:pPr>
      <w:numPr>
        <w:numId w:val="1"/>
      </w:numPr>
      <w:spacing w:before="60" w:after="0" w:line="240" w:lineRule="auto"/>
    </w:pPr>
    <w:rPr>
      <w:rFonts w:ascii="Roboto Light" w:eastAsia="MS Mincho" w:hAnsi="Roboto Light" w:cs="Arial"/>
      <w:color w:val="000000"/>
      <w:sz w:val="18"/>
      <w:szCs w:val="24"/>
      <w:lang w:val="en-US"/>
    </w:rPr>
  </w:style>
  <w:style w:type="character" w:customStyle="1" w:styleId="SOFinalContentTableTextChar">
    <w:name w:val="SO Final Content Table Text Char"/>
    <w:link w:val="SOFinalContentTableText"/>
    <w:rsid w:val="00C54C56"/>
    <w:rPr>
      <w:rFonts w:ascii="Roboto Light" w:eastAsia="Times New Roman" w:hAnsi="Roboto Light" w:cs="Times New Roman"/>
      <w:color w:val="000000"/>
      <w:sz w:val="18"/>
      <w:szCs w:val="24"/>
      <w:lang w:val="en-US"/>
    </w:rPr>
  </w:style>
  <w:style w:type="paragraph" w:customStyle="1" w:styleId="SOFinalContentTableText8ptabove">
    <w:name w:val="SO Final Content Table Text 8 pt above"/>
    <w:next w:val="Normal"/>
    <w:qFormat/>
    <w:rsid w:val="00C54C56"/>
    <w:pPr>
      <w:spacing w:before="160" w:after="0" w:line="240" w:lineRule="auto"/>
    </w:pPr>
    <w:rPr>
      <w:rFonts w:ascii="Roboto Light" w:eastAsia="SimSun" w:hAnsi="Roboto Light" w:cs="Times New Roman"/>
      <w:sz w:val="18"/>
      <w:szCs w:val="18"/>
      <w:lang w:eastAsia="zh-CN"/>
    </w:rPr>
  </w:style>
  <w:style w:type="paragraph" w:customStyle="1" w:styleId="SOFinalHead3">
    <w:name w:val="SO Final Head 3"/>
    <w:link w:val="SOFinalHead3CharChar"/>
    <w:rsid w:val="00C54C56"/>
    <w:pPr>
      <w:spacing w:before="360" w:after="0" w:line="240" w:lineRule="auto"/>
    </w:pPr>
    <w:rPr>
      <w:rFonts w:ascii="Roboto Medium" w:eastAsia="Times New Roman" w:hAnsi="Roboto Medium" w:cs="Times New Roman"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C54C56"/>
    <w:rPr>
      <w:rFonts w:ascii="Roboto Medium" w:eastAsia="Times New Roman" w:hAnsi="Roboto Medium" w:cs="Times New Roman"/>
      <w:color w:val="000000"/>
      <w:sz w:val="28"/>
      <w:szCs w:val="24"/>
      <w:lang w:val="en-US"/>
    </w:rPr>
  </w:style>
  <w:style w:type="paragraph" w:customStyle="1" w:styleId="SOFinalImprintText">
    <w:name w:val="SO Final Imprint Text"/>
    <w:rsid w:val="00C54C56"/>
    <w:pPr>
      <w:spacing w:before="60" w:after="0" w:line="240" w:lineRule="auto"/>
    </w:pPr>
    <w:rPr>
      <w:rFonts w:ascii="Roboto Light" w:eastAsia="Times New Roman" w:hAnsi="Roboto Light" w:cs="Times New Roman"/>
      <w:sz w:val="18"/>
      <w:szCs w:val="20"/>
      <w:lang w:val="en-US"/>
    </w:rPr>
  </w:style>
  <w:style w:type="paragraph" w:customStyle="1" w:styleId="SOFinalContentTableTextUnderBullet">
    <w:name w:val="SO Final Content Table Text Under Bullet"/>
    <w:rsid w:val="00C54C56"/>
    <w:pPr>
      <w:spacing w:before="60" w:after="0" w:line="240" w:lineRule="auto"/>
      <w:ind w:left="170"/>
    </w:pPr>
    <w:rPr>
      <w:rFonts w:ascii="Roboto Light" w:eastAsia="MS Mincho" w:hAnsi="Roboto Light" w:cs="Arial"/>
      <w:color w:val="000000"/>
      <w:sz w:val="18"/>
      <w:szCs w:val="24"/>
      <w:lang w:val="en-US"/>
    </w:rPr>
  </w:style>
  <w:style w:type="paragraph" w:customStyle="1" w:styleId="SOFinalContentTableHead3">
    <w:name w:val="SO Final Content Table Head 3"/>
    <w:rsid w:val="00C54C56"/>
    <w:pPr>
      <w:spacing w:before="240" w:after="0" w:line="240" w:lineRule="auto"/>
    </w:pPr>
    <w:rPr>
      <w:rFonts w:ascii="Roboto Medium" w:eastAsia="SimSun" w:hAnsi="Roboto Medium" w:cs="Times New Roman"/>
      <w:i/>
      <w:color w:val="000000"/>
      <w:sz w:val="20"/>
      <w:szCs w:val="24"/>
      <w:lang w:eastAsia="zh-CN"/>
    </w:rPr>
  </w:style>
  <w:style w:type="paragraph" w:customStyle="1" w:styleId="SOFinalContentTableEquation">
    <w:name w:val="SO Final Content Table Equation"/>
    <w:basedOn w:val="SOFinalContentTableText"/>
    <w:rsid w:val="00C54C56"/>
    <w:pPr>
      <w:spacing w:before="0"/>
      <w:jc w:val="center"/>
    </w:pPr>
    <w:rPr>
      <w:rFonts w:cs="Arial"/>
    </w:rPr>
  </w:style>
  <w:style w:type="paragraph" w:customStyle="1" w:styleId="SOFinalContentTableTextCentered">
    <w:name w:val="SO Final Content Table Text Centered"/>
    <w:basedOn w:val="SOFinalContentTableText"/>
    <w:rsid w:val="00C54C56"/>
    <w:pPr>
      <w:spacing w:before="60"/>
      <w:jc w:val="center"/>
    </w:pPr>
  </w:style>
  <w:style w:type="paragraph" w:customStyle="1" w:styleId="SOFinalBodyTextAfterContentTableHead1">
    <w:name w:val="SO Final Body Text After Content Table Head 1"/>
    <w:rsid w:val="00C54C56"/>
    <w:pPr>
      <w:spacing w:before="120" w:after="360" w:line="240" w:lineRule="auto"/>
    </w:pPr>
    <w:rPr>
      <w:rFonts w:ascii="Roboto Light" w:eastAsia="Times New Roman" w:hAnsi="Roboto Light" w:cs="Times New Roman"/>
      <w:color w:val="000000"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unhideWhenUsed/>
    <w:rsid w:val="00C54C56"/>
    <w:pPr>
      <w:spacing w:after="0" w:line="240" w:lineRule="auto"/>
    </w:pPr>
    <w:rPr>
      <w:rFonts w:ascii="Roboto Light" w:eastAsia="SimSun" w:hAnsi="Roboto Light"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C54C56"/>
    <w:rPr>
      <w:rFonts w:ascii="Roboto Light" w:eastAsia="SimSun" w:hAnsi="Roboto Light" w:cs="Times New Roman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A6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B61"/>
  </w:style>
  <w:style w:type="paragraph" w:styleId="Footer">
    <w:name w:val="footer"/>
    <w:basedOn w:val="Normal"/>
    <w:link w:val="FooterChar"/>
    <w:uiPriority w:val="99"/>
    <w:unhideWhenUsed/>
    <w:rsid w:val="002A6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B61"/>
  </w:style>
  <w:style w:type="character" w:styleId="Strong">
    <w:name w:val="Strong"/>
    <w:basedOn w:val="DefaultParagraphFont"/>
    <w:uiPriority w:val="22"/>
    <w:qFormat/>
    <w:rsid w:val="002A6B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5.bin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5.wmf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10" Type="http://schemas.openxmlformats.org/officeDocument/2006/relationships/footnotes" Target="footnotes.xm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oleObject" Target="embeddings/oleObject8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4.wmf"/><Relationship Id="rId46" Type="http://schemas.openxmlformats.org/officeDocument/2006/relationships/theme" Target="theme/theme1.xml"/><Relationship Id="rId20" Type="http://schemas.openxmlformats.org/officeDocument/2006/relationships/image" Target="media/image5.wmf"/><Relationship Id="rId41" Type="http://schemas.openxmlformats.org/officeDocument/2006/relationships/oleObject" Target="embeddings/oleObject15.bin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A925159</value>
    </field>
    <field name="Objective-Title">
      <value order="0">Accounting Analysis and Ratio tools</value>
    </field>
    <field name="Objective-Description">
      <value order="0"/>
    </field>
    <field name="Objective-CreationStamp">
      <value order="0">2020-07-27T00:46:31Z</value>
    </field>
    <field name="Objective-IsApproved">
      <value order="0">false</value>
    </field>
    <field name="Objective-IsPublished">
      <value order="0">true</value>
    </field>
    <field name="Objective-DatePublished">
      <value order="0">2020-07-27T00:49:30Z</value>
    </field>
    <field name="Objective-ModificationStamp">
      <value order="0">2020-07-27T00:49:30Z</value>
    </field>
    <field name="Objective-Owner">
      <value order="0">Karen Collins</value>
    </field>
    <field name="Objective-Path">
      <value order="0">Objective Global Folder:SACE Support Materials:SACE Support Materials Stage 2:Business, Enterprise and Technology:Accounting (from2020):Subject advice</value>
    </field>
    <field name="Objective-Parent">
      <value order="0">Subject advice</value>
    </field>
    <field name="Objective-State">
      <value order="0">Published</value>
    </field>
    <field name="Objective-VersionId">
      <value order="0">vA1576337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qA16153</value>
    </field>
    <field name="Objective-Classification">
      <value order="0"/>
    </field>
    <field name="Objective-Caveats">
      <value order="0"/>
    </field>
  </systemFields>
  <catalogues/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7876389AFCA4D9522C8D1F104CC11" ma:contentTypeVersion="13" ma:contentTypeDescription="Create a new document." ma:contentTypeScope="" ma:versionID="62eeaa48066b55a7d568b009d27a7672">
  <xsd:schema xmlns:xsd="http://www.w3.org/2001/XMLSchema" xmlns:xs="http://www.w3.org/2001/XMLSchema" xmlns:p="http://schemas.microsoft.com/office/2006/metadata/properties" xmlns:ns3="9e3846ed-42c6-478a-824e-2a7610e79bad" xmlns:ns4="ba80a52d-e772-44b7-99bd-014dbf1b3361" targetNamespace="http://schemas.microsoft.com/office/2006/metadata/properties" ma:root="true" ma:fieldsID="ecfd783f9999c121d0208d66b49db400" ns3:_="" ns4:_="">
    <xsd:import namespace="9e3846ed-42c6-478a-824e-2a7610e79bad"/>
    <xsd:import namespace="ba80a52d-e772-44b7-99bd-014dbf1b3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846ed-42c6-478a-824e-2a7610e79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0a52d-e772-44b7-99bd-014dbf1b3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2.xml><?xml version="1.0" encoding="utf-8"?>
<ds:datastoreItem xmlns:ds="http://schemas.openxmlformats.org/officeDocument/2006/customXml" ds:itemID="{1A28D376-5BE0-40E8-B93F-66011D50ED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96E50-5390-4F62-BF11-38A61443EA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50439D-448B-4B25-A034-CD79FBC9E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846ed-42c6-478a-824e-2a7610e79bad"/>
    <ds:schemaRef ds:uri="ba80a52d-e772-44b7-99bd-014dbf1b3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2E19FA-C741-4718-A441-E39DE1C7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Louise (SACE)</dc:creator>
  <cp:keywords/>
  <dc:description/>
  <cp:lastModifiedBy>Collins, Karen (SACE)</cp:lastModifiedBy>
  <cp:revision>6</cp:revision>
  <dcterms:created xsi:type="dcterms:W3CDTF">2020-07-27T00:46:00Z</dcterms:created>
  <dcterms:modified xsi:type="dcterms:W3CDTF">2020-07-27T00:50:00Z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0x01010088A7876389AFCA4D9522C8D1F104CC11</vt:lpwstr>
  </property>
  <property fmtid="{D5CDD505-2E9C-101B-9397-08002B2CF9AE}" pid="3" name="Objective-Id">
    <vt:lpwstr>A925159</vt:lpwstr>
  </property>
  <property fmtid="{D5CDD505-2E9C-101B-9397-08002B2CF9AE}" pid="4" name="Objective-Title">
    <vt:lpwstr>Accounting Analysis and Ratio tools</vt:lpwstr>
  </property>
  <property fmtid="{D5CDD505-2E9C-101B-9397-08002B2CF9AE}" pid="5" name="Objective-Description">
    <vt:lpwstr/>
  </property>
  <property fmtid="{D5CDD505-2E9C-101B-9397-08002B2CF9AE}" pid="6" name="Objective-CreationStamp">
    <vt:filetime>2020-07-27T00:46:31Z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2020-07-27T00:49:30Z</vt:filetime>
  </property>
  <property fmtid="{D5CDD505-2E9C-101B-9397-08002B2CF9AE}" pid="10" name="Objective-ModificationStamp">
    <vt:filetime>2020-07-27T00:49:30Z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2:Business, Enterprise and Technology:Accounting (from2020):Subject advice</vt:lpwstr>
  </property>
  <property fmtid="{D5CDD505-2E9C-101B-9397-08002B2CF9AE}" pid="13" name="Objective-Parent">
    <vt:lpwstr>Subject advice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vA1576337</vt:lpwstr>
  </property>
  <property fmtid="{D5CDD505-2E9C-101B-9397-08002B2CF9AE}" pid="16" name="Objective-Version">
    <vt:lpwstr>2.0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qA16153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