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3865" w14:textId="77777777" w:rsidR="00B00AAD" w:rsidRPr="005E0464" w:rsidRDefault="005E0464" w:rsidP="00B00AA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lang w:val="en-AU"/>
        </w:rPr>
      </w:pPr>
      <w:r w:rsidRPr="005E0464">
        <w:rPr>
          <w:rFonts w:ascii="Arial" w:hAnsi="Arial" w:cs="Arial"/>
          <w:b/>
          <w:bCs/>
          <w:lang w:val="en-AU"/>
        </w:rPr>
        <w:t xml:space="preserve">Stage 2 </w:t>
      </w:r>
      <w:r w:rsidR="00B00AAD" w:rsidRPr="005E0464">
        <w:rPr>
          <w:rFonts w:ascii="Arial" w:hAnsi="Arial" w:cs="Arial"/>
          <w:b/>
          <w:bCs/>
          <w:lang w:val="en-AU"/>
        </w:rPr>
        <w:t>Women’s Studies</w:t>
      </w:r>
    </w:p>
    <w:p w14:paraId="23374014" w14:textId="77777777" w:rsidR="00B00AAD" w:rsidRPr="00EE6436" w:rsidRDefault="00E85375" w:rsidP="00B00AAD">
      <w:pPr>
        <w:spacing w:before="120" w:after="120" w:line="276" w:lineRule="auto"/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Assessment Type 3</w:t>
      </w:r>
      <w:r w:rsidR="00B00AAD" w:rsidRPr="00EE6436">
        <w:rPr>
          <w:rFonts w:ascii="Arial" w:hAnsi="Arial" w:cs="Arial"/>
          <w:b/>
          <w:bCs/>
          <w:lang w:val="en-AU"/>
        </w:rPr>
        <w:t xml:space="preserve">: Folio </w:t>
      </w:r>
    </w:p>
    <w:p w14:paraId="19A1FA63" w14:textId="77777777" w:rsidR="00B00AAD" w:rsidRPr="00B00AAD" w:rsidRDefault="00B00AAD" w:rsidP="00C164F7">
      <w:pPr>
        <w:shd w:val="clear" w:color="auto" w:fill="FFFFFF"/>
        <w:ind w:left="709" w:hanging="709"/>
        <w:jc w:val="both"/>
        <w:rPr>
          <w:rFonts w:ascii="Arial" w:hAnsi="Arial" w:cs="Arial"/>
          <w:sz w:val="18"/>
          <w:lang w:val="en-AU"/>
        </w:rPr>
      </w:pPr>
      <w:r w:rsidRPr="001C70A3">
        <w:rPr>
          <w:rFonts w:ascii="Arial" w:hAnsi="Arial" w:cs="Arial"/>
          <w:b/>
          <w:bCs/>
          <w:sz w:val="22"/>
          <w:szCs w:val="32"/>
          <w:lang w:val="en-AU"/>
        </w:rPr>
        <w:t>Task:</w:t>
      </w:r>
      <w:r w:rsidRPr="00B00AAD">
        <w:rPr>
          <w:rFonts w:ascii="Arial" w:hAnsi="Arial" w:cs="Arial"/>
          <w:bCs/>
          <w:sz w:val="22"/>
          <w:szCs w:val="32"/>
          <w:lang w:val="en-AU"/>
        </w:rPr>
        <w:t xml:space="preserve"> </w:t>
      </w:r>
      <w:r>
        <w:rPr>
          <w:rFonts w:ascii="Arial" w:hAnsi="Arial" w:cs="Arial"/>
          <w:bCs/>
          <w:sz w:val="22"/>
          <w:szCs w:val="32"/>
          <w:lang w:val="en-AU"/>
        </w:rPr>
        <w:tab/>
      </w:r>
      <w:r w:rsidRPr="00B00AAD">
        <w:rPr>
          <w:rFonts w:ascii="Arial" w:hAnsi="Arial" w:cs="Arial"/>
          <w:sz w:val="22"/>
          <w:szCs w:val="20"/>
        </w:rPr>
        <w:t>Analysis of the ways in which gender bias disempowers women in an issue of student choice. Identification and evaluation of ways to effect change to address gender bias.</w:t>
      </w:r>
    </w:p>
    <w:p w14:paraId="760F6780" w14:textId="77777777" w:rsidR="00B00AAD" w:rsidRPr="00B00AAD" w:rsidRDefault="00B00AAD" w:rsidP="00C164F7">
      <w:pPr>
        <w:shd w:val="clear" w:color="auto" w:fill="FFFFFF"/>
        <w:spacing w:line="276" w:lineRule="auto"/>
        <w:jc w:val="both"/>
        <w:rPr>
          <w:rFonts w:ascii="Arial" w:hAnsi="Arial" w:cs="Arial"/>
          <w:sz w:val="2"/>
          <w:lang w:val="en-AU"/>
        </w:rPr>
      </w:pPr>
    </w:p>
    <w:p w14:paraId="26FD5E12" w14:textId="13356ED2" w:rsidR="00B00AAD" w:rsidRPr="00B00AAD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6071EA">
        <w:rPr>
          <w:rFonts w:ascii="Arial" w:hAnsi="Arial" w:cs="Arial"/>
          <w:b/>
          <w:sz w:val="22"/>
          <w:szCs w:val="28"/>
        </w:rPr>
        <w:t>Task Description:</w:t>
      </w:r>
      <w:r w:rsidR="00C164F7">
        <w:rPr>
          <w:rFonts w:ascii="Arial" w:hAnsi="Arial" w:cs="Arial"/>
          <w:b/>
          <w:sz w:val="22"/>
          <w:szCs w:val="28"/>
        </w:rPr>
        <w:t xml:space="preserve"> </w:t>
      </w:r>
      <w:r w:rsidRPr="00B00AAD">
        <w:rPr>
          <w:rFonts w:ascii="Arial" w:hAnsi="Arial" w:cs="Arial"/>
          <w:sz w:val="22"/>
          <w:szCs w:val="20"/>
        </w:rPr>
        <w:t xml:space="preserve">Read the two articles and then answer the following </w:t>
      </w:r>
      <w:proofErr w:type="gramStart"/>
      <w:r w:rsidRPr="00B00AAD">
        <w:rPr>
          <w:rFonts w:ascii="Arial" w:hAnsi="Arial" w:cs="Arial"/>
          <w:sz w:val="22"/>
          <w:szCs w:val="20"/>
        </w:rPr>
        <w:t>questions</w:t>
      </w:r>
      <w:proofErr w:type="gramEnd"/>
    </w:p>
    <w:p w14:paraId="610E9D52" w14:textId="77777777" w:rsidR="00B00AAD" w:rsidRPr="00B00AAD" w:rsidRDefault="00B00AAD" w:rsidP="00C164F7">
      <w:pPr>
        <w:spacing w:line="300" w:lineRule="atLeast"/>
        <w:jc w:val="both"/>
        <w:outlineLvl w:val="2"/>
        <w:rPr>
          <w:rFonts w:ascii="Arial" w:hAnsi="Arial" w:cs="Arial"/>
          <w:b/>
          <w:color w:val="333333"/>
          <w:sz w:val="22"/>
          <w:lang w:val="en"/>
        </w:rPr>
      </w:pPr>
      <w:r w:rsidRPr="00B00AAD">
        <w:rPr>
          <w:rFonts w:ascii="Arial" w:hAnsi="Arial" w:cs="Arial"/>
          <w:b/>
          <w:color w:val="333333"/>
          <w:sz w:val="22"/>
          <w:lang w:val="en"/>
        </w:rPr>
        <w:t xml:space="preserve">'Virginity Tests' and the Abuse of Egypt's Women </w:t>
      </w:r>
    </w:p>
    <w:tbl>
      <w:tblPr>
        <w:tblW w:w="9638" w:type="dxa"/>
        <w:tblCellSpacing w:w="0" w:type="dxa"/>
        <w:tblInd w:w="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618"/>
      </w:tblGrid>
      <w:tr w:rsidR="00B00AAD" w:rsidRPr="00A230F8" w14:paraId="152C9034" w14:textId="77777777" w:rsidTr="00E55548">
        <w:trPr>
          <w:tblCellSpacing w:w="0" w:type="dxa"/>
        </w:trPr>
        <w:tc>
          <w:tcPr>
            <w:tcW w:w="20" w:type="dxa"/>
            <w:hideMark/>
          </w:tcPr>
          <w:p w14:paraId="08B64941" w14:textId="77777777" w:rsidR="00B00AAD" w:rsidRPr="00A230F8" w:rsidRDefault="00B00AAD" w:rsidP="00C164F7">
            <w:pPr>
              <w:spacing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4FCC2" w14:textId="77777777" w:rsidR="00B00AAD" w:rsidRDefault="00000000" w:rsidP="00C164F7">
            <w:pPr>
              <w:spacing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hyperlink r:id="rId8" w:history="1">
              <w:r w:rsidR="00B00AAD" w:rsidRPr="00A230F8">
                <w:rPr>
                  <w:rFonts w:ascii="Arial" w:hAnsi="Arial" w:cs="Arial"/>
                  <w:color w:val="411C0D"/>
                  <w:sz w:val="20"/>
                  <w:szCs w:val="20"/>
                </w:rPr>
                <w:t>Isobel Coleman</w:t>
              </w:r>
            </w:hyperlink>
            <w:r w:rsidR="00B00AAD" w:rsidRPr="00A230F8">
              <w:rPr>
                <w:rFonts w:ascii="Arial" w:hAnsi="Arial" w:cs="Arial"/>
                <w:color w:val="333333"/>
                <w:sz w:val="20"/>
                <w:szCs w:val="20"/>
              </w:rPr>
              <w:t xml:space="preserve">, Senior Fellow and Director of the Civil Society, Markets, and Democracy Initiative; Director of the Women and Foreign Policy Program, </w:t>
            </w:r>
            <w:r w:rsidR="00B00AAD" w:rsidRPr="00A230F8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June 1, 2011, cnn.com</w:t>
            </w:r>
          </w:p>
          <w:p w14:paraId="2A017685" w14:textId="77777777" w:rsidR="00B00AAD" w:rsidRPr="00A230F8" w:rsidRDefault="00B00AAD" w:rsidP="00C164F7">
            <w:pPr>
              <w:spacing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E0464">
              <w:rPr>
                <w:rFonts w:ascii="Arial" w:hAnsi="Arial" w:cs="Arial"/>
                <w:sz w:val="20"/>
                <w:szCs w:val="20"/>
              </w:rPr>
              <w:t>http://articles.cnn.com/2011-06-01/opinion/coleman.egypt.women_1_virginity-tests-egyptian-women-security-forces?_s=PM:OPINION</w:t>
            </w:r>
          </w:p>
        </w:tc>
      </w:tr>
    </w:tbl>
    <w:p w14:paraId="69A4E418" w14:textId="77777777" w:rsidR="00B00AAD" w:rsidRPr="00B00AAD" w:rsidRDefault="00B00AAD" w:rsidP="00C164F7">
      <w:pPr>
        <w:spacing w:line="300" w:lineRule="atLeast"/>
        <w:jc w:val="both"/>
        <w:outlineLvl w:val="2"/>
        <w:rPr>
          <w:rFonts w:ascii="Arial" w:hAnsi="Arial" w:cs="Arial"/>
          <w:b/>
          <w:color w:val="333333"/>
          <w:sz w:val="22"/>
          <w:lang w:val="en"/>
        </w:rPr>
      </w:pPr>
      <w:r w:rsidRPr="00B00AAD">
        <w:rPr>
          <w:rFonts w:ascii="Arial" w:hAnsi="Arial" w:cs="Arial"/>
          <w:b/>
          <w:color w:val="333333"/>
          <w:sz w:val="22"/>
          <w:lang w:val="en"/>
        </w:rPr>
        <w:t xml:space="preserve">Women's Driving Protest May Signal Changes in Saudi Arabia </w:t>
      </w:r>
    </w:p>
    <w:tbl>
      <w:tblPr>
        <w:tblW w:w="9638" w:type="dxa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2"/>
      </w:tblGrid>
      <w:tr w:rsidR="00B00AAD" w:rsidRPr="00B00AAD" w14:paraId="7BDF7451" w14:textId="77777777" w:rsidTr="00E55548">
        <w:trPr>
          <w:tblCellSpacing w:w="0" w:type="dxa"/>
        </w:trPr>
        <w:tc>
          <w:tcPr>
            <w:tcW w:w="0" w:type="auto"/>
            <w:hideMark/>
          </w:tcPr>
          <w:p w14:paraId="75CF5850" w14:textId="77777777" w:rsidR="00B00AAD" w:rsidRPr="00B00AAD" w:rsidRDefault="00B00AAD" w:rsidP="00C164F7">
            <w:pPr>
              <w:spacing w:line="300" w:lineRule="atLeast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BEEF9" w14:textId="77777777" w:rsidR="00B00AAD" w:rsidRPr="00B00AAD" w:rsidRDefault="00000000" w:rsidP="00C164F7">
            <w:pPr>
              <w:spacing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</w:pPr>
            <w:hyperlink r:id="rId9" w:history="1">
              <w:r w:rsidR="00B00AAD" w:rsidRPr="00B00AAD">
                <w:rPr>
                  <w:rFonts w:ascii="Arial" w:hAnsi="Arial" w:cs="Arial"/>
                  <w:color w:val="411C0D"/>
                  <w:sz w:val="20"/>
                  <w:szCs w:val="20"/>
                </w:rPr>
                <w:t>Isobel Coleman</w:t>
              </w:r>
            </w:hyperlink>
            <w:r w:rsidR="00B00AAD" w:rsidRPr="00B00AAD">
              <w:rPr>
                <w:rFonts w:ascii="Arial" w:hAnsi="Arial" w:cs="Arial"/>
                <w:color w:val="333333"/>
                <w:sz w:val="20"/>
                <w:szCs w:val="20"/>
              </w:rPr>
              <w:t xml:space="preserve">, Senior Fellow and Director of the Civil Society, Markets, and Democracy Initiative; Director of the Women and Foreign Policy Program, </w:t>
            </w:r>
            <w:r w:rsidR="00B00AAD" w:rsidRPr="00B00AAD">
              <w:rPr>
                <w:rFonts w:ascii="Arial" w:hAnsi="Arial" w:cs="Arial"/>
                <w:color w:val="333333"/>
                <w:sz w:val="20"/>
                <w:szCs w:val="20"/>
                <w:lang w:val="en"/>
              </w:rPr>
              <w:t xml:space="preserve"> June 23, 2011, Washington Post</w:t>
            </w:r>
          </w:p>
          <w:p w14:paraId="638B8E50" w14:textId="77777777" w:rsidR="00B00AAD" w:rsidRPr="00B00AAD" w:rsidRDefault="00B00AAD" w:rsidP="00C164F7">
            <w:pPr>
              <w:spacing w:line="300" w:lineRule="atLeast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5E0464">
              <w:rPr>
                <w:rFonts w:ascii="Arial" w:hAnsi="Arial" w:cs="Arial"/>
                <w:sz w:val="20"/>
                <w:szCs w:val="20"/>
              </w:rPr>
              <w:t>http://www.washingtonpost.com/opinions/womens-driving-protest-may-signal-changes-in-saudi-arabia/2011/06/23/AGNwOZjH_story.html</w:t>
            </w:r>
          </w:p>
        </w:tc>
      </w:tr>
    </w:tbl>
    <w:p w14:paraId="467E3EC9" w14:textId="77777777" w:rsidR="006071EA" w:rsidRPr="006071EA" w:rsidRDefault="006071EA" w:rsidP="00C164F7">
      <w:pPr>
        <w:spacing w:before="240" w:after="240"/>
        <w:jc w:val="both"/>
        <w:rPr>
          <w:rFonts w:ascii="Arial" w:hAnsi="Arial" w:cs="Arial"/>
          <w:b/>
          <w:sz w:val="22"/>
          <w:szCs w:val="28"/>
        </w:rPr>
      </w:pPr>
      <w:r w:rsidRPr="006071EA">
        <w:rPr>
          <w:rFonts w:ascii="Arial" w:hAnsi="Arial" w:cs="Arial"/>
          <w:b/>
          <w:sz w:val="22"/>
          <w:szCs w:val="20"/>
        </w:rPr>
        <w:t>Questions</w:t>
      </w:r>
    </w:p>
    <w:p w14:paraId="743B8C7E" w14:textId="18AA954F" w:rsidR="00B00AAD" w:rsidRPr="006071EA" w:rsidRDefault="00B00AAD" w:rsidP="00C164F7">
      <w:pPr>
        <w:pStyle w:val="ListParagraph"/>
        <w:numPr>
          <w:ilvl w:val="0"/>
          <w:numId w:val="3"/>
        </w:numPr>
        <w:spacing w:before="240" w:after="120"/>
        <w:jc w:val="both"/>
        <w:rPr>
          <w:rFonts w:ascii="Arial" w:hAnsi="Arial" w:cs="Arial"/>
          <w:szCs w:val="28"/>
        </w:rPr>
      </w:pPr>
      <w:r w:rsidRPr="006071EA">
        <w:rPr>
          <w:rFonts w:ascii="Arial" w:hAnsi="Arial" w:cs="Arial"/>
          <w:szCs w:val="28"/>
        </w:rPr>
        <w:t xml:space="preserve">What examples of gender bias in social structures, cultural practices and ways of thinking are evident in the </w:t>
      </w:r>
      <w:r w:rsidR="00C164F7">
        <w:rPr>
          <w:rFonts w:ascii="Arial" w:hAnsi="Arial" w:cs="Arial"/>
          <w:szCs w:val="28"/>
        </w:rPr>
        <w:t>two</w:t>
      </w:r>
      <w:r w:rsidRPr="006071EA">
        <w:rPr>
          <w:rFonts w:ascii="Arial" w:hAnsi="Arial" w:cs="Arial"/>
          <w:szCs w:val="28"/>
        </w:rPr>
        <w:t xml:space="preserve"> articles?</w:t>
      </w:r>
    </w:p>
    <w:p w14:paraId="2B89B80F" w14:textId="23B2073E" w:rsidR="00B00AAD" w:rsidRPr="00C164F7" w:rsidRDefault="00B00AAD" w:rsidP="00C164F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Cs w:val="28"/>
        </w:rPr>
      </w:pPr>
      <w:r w:rsidRPr="00C164F7">
        <w:rPr>
          <w:rFonts w:ascii="Arial" w:hAnsi="Arial" w:cs="Arial"/>
          <w:szCs w:val="28"/>
        </w:rPr>
        <w:t>How does this gender bias disempower women?</w:t>
      </w:r>
    </w:p>
    <w:p w14:paraId="5D66DBB5" w14:textId="22204789" w:rsidR="00B00AAD" w:rsidRPr="00C164F7" w:rsidRDefault="00B00AAD" w:rsidP="00C164F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Cs w:val="28"/>
        </w:rPr>
      </w:pPr>
      <w:r w:rsidRPr="00C164F7">
        <w:rPr>
          <w:rFonts w:ascii="Arial" w:hAnsi="Arial" w:cs="Arial"/>
          <w:szCs w:val="28"/>
        </w:rPr>
        <w:t>What strategies are being used to address this gender bias?</w:t>
      </w:r>
    </w:p>
    <w:p w14:paraId="4E079ACD" w14:textId="0F0591F6" w:rsidR="00B00AAD" w:rsidRPr="00C164F7" w:rsidRDefault="00B00AAD" w:rsidP="00C164F7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Arial" w:hAnsi="Arial" w:cs="Arial"/>
          <w:szCs w:val="28"/>
        </w:rPr>
      </w:pPr>
      <w:r w:rsidRPr="00C164F7">
        <w:rPr>
          <w:rFonts w:ascii="Arial" w:hAnsi="Arial" w:cs="Arial"/>
          <w:szCs w:val="28"/>
        </w:rPr>
        <w:t>How successful have these strategies been?</w:t>
      </w:r>
    </w:p>
    <w:p w14:paraId="14CA8178" w14:textId="77777777" w:rsidR="003F3C72" w:rsidRPr="003F3C72" w:rsidRDefault="003F3C72" w:rsidP="00C164F7">
      <w:pPr>
        <w:pBdr>
          <w:top w:val="single" w:sz="4" w:space="1" w:color="auto"/>
        </w:pBd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360"/>
        <w:jc w:val="both"/>
        <w:rPr>
          <w:rFonts w:ascii="Arial" w:hAnsi="Arial" w:cs="Arial"/>
          <w:b/>
          <w:sz w:val="14"/>
          <w:szCs w:val="22"/>
        </w:rPr>
      </w:pPr>
    </w:p>
    <w:p w14:paraId="37D587A6" w14:textId="77777777" w:rsidR="00B00AAD" w:rsidRPr="006071EA" w:rsidRDefault="00B00AAD" w:rsidP="00C164F7">
      <w:pPr>
        <w:pBdr>
          <w:top w:val="single" w:sz="4" w:space="1" w:color="auto"/>
        </w:pBd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jc w:val="both"/>
        <w:rPr>
          <w:rFonts w:ascii="Arial" w:hAnsi="Arial" w:cs="Arial"/>
          <w:b/>
          <w:sz w:val="20"/>
          <w:szCs w:val="22"/>
        </w:rPr>
      </w:pPr>
      <w:r w:rsidRPr="006071EA">
        <w:rPr>
          <w:rFonts w:ascii="Arial" w:hAnsi="Arial" w:cs="Arial"/>
          <w:b/>
          <w:sz w:val="20"/>
          <w:szCs w:val="22"/>
        </w:rPr>
        <w:t>Learning Requirements:</w:t>
      </w:r>
    </w:p>
    <w:p w14:paraId="15C1C7D8" w14:textId="77777777" w:rsidR="00B00AAD" w:rsidRPr="006071EA" w:rsidRDefault="00E55548" w:rsidP="00C164F7">
      <w:pPr>
        <w:spacing w:before="60"/>
        <w:ind w:left="709" w:hanging="284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3.</w:t>
      </w:r>
      <w:r w:rsidR="00B00AAD" w:rsidRPr="006071EA">
        <w:rPr>
          <w:rFonts w:ascii="Arial" w:hAnsi="Arial" w:cs="Arial"/>
          <w:color w:val="000000"/>
          <w:sz w:val="20"/>
          <w:szCs w:val="22"/>
        </w:rPr>
        <w:tab/>
        <w:t>Analyse representations of women for gender bias and identify ways of effecting change to address gender bias.</w:t>
      </w:r>
    </w:p>
    <w:p w14:paraId="461C6975" w14:textId="77777777" w:rsidR="00B00AAD" w:rsidRPr="006071EA" w:rsidRDefault="005E0464" w:rsidP="00C164F7">
      <w:pPr>
        <w:spacing w:before="60"/>
        <w:ind w:left="709" w:hanging="284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4.</w:t>
      </w:r>
      <w:r>
        <w:rPr>
          <w:rFonts w:ascii="Arial" w:hAnsi="Arial" w:cs="Arial"/>
          <w:color w:val="000000"/>
          <w:sz w:val="20"/>
          <w:szCs w:val="22"/>
        </w:rPr>
        <w:tab/>
        <w:t>I</w:t>
      </w:r>
      <w:r w:rsidR="00B00AAD" w:rsidRPr="006071EA">
        <w:rPr>
          <w:rFonts w:ascii="Arial" w:hAnsi="Arial" w:cs="Arial"/>
          <w:color w:val="000000"/>
          <w:sz w:val="20"/>
          <w:szCs w:val="22"/>
        </w:rPr>
        <w:t>nvestigate and evaluate the ways in which various social structures, cultural practices, and ways of thinking disempower women</w:t>
      </w:r>
    </w:p>
    <w:p w14:paraId="4B068BFD" w14:textId="77777777" w:rsidR="00B00AAD" w:rsidRPr="006071EA" w:rsidRDefault="00B00AAD" w:rsidP="00C164F7">
      <w:pPr>
        <w:spacing w:before="60"/>
        <w:ind w:left="709" w:hanging="284"/>
        <w:jc w:val="both"/>
        <w:rPr>
          <w:rFonts w:ascii="Arial" w:hAnsi="Arial" w:cs="Arial"/>
          <w:color w:val="000000"/>
          <w:sz w:val="20"/>
          <w:szCs w:val="22"/>
        </w:rPr>
      </w:pPr>
      <w:r w:rsidRPr="006071EA">
        <w:rPr>
          <w:rFonts w:ascii="Arial" w:hAnsi="Arial" w:cs="Arial"/>
          <w:color w:val="000000"/>
          <w:sz w:val="20"/>
          <w:szCs w:val="22"/>
        </w:rPr>
        <w:t>6.</w:t>
      </w:r>
      <w:r w:rsidRPr="006071EA">
        <w:rPr>
          <w:rFonts w:ascii="Arial" w:hAnsi="Arial" w:cs="Arial"/>
          <w:color w:val="000000"/>
          <w:sz w:val="20"/>
          <w:szCs w:val="22"/>
        </w:rPr>
        <w:tab/>
      </w:r>
      <w:r w:rsidR="005E0464">
        <w:rPr>
          <w:rFonts w:ascii="Arial" w:hAnsi="Arial" w:cs="Arial"/>
          <w:color w:val="000000"/>
          <w:sz w:val="20"/>
          <w:szCs w:val="22"/>
        </w:rPr>
        <w:t>C</w:t>
      </w:r>
      <w:r w:rsidRPr="006071EA">
        <w:rPr>
          <w:rFonts w:ascii="Arial" w:hAnsi="Arial" w:cs="Arial"/>
          <w:color w:val="000000"/>
          <w:sz w:val="20"/>
          <w:szCs w:val="22"/>
        </w:rPr>
        <w:t xml:space="preserve">ommunicate informed ideas about the diversity of women’s experiences, using the language of gender analysis, and appropriate forms, with acknowledgment of sources. </w:t>
      </w:r>
    </w:p>
    <w:p w14:paraId="5535449F" w14:textId="77777777" w:rsidR="00B00AAD" w:rsidRPr="006071EA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240"/>
        <w:jc w:val="both"/>
        <w:rPr>
          <w:rFonts w:ascii="Arial" w:hAnsi="Arial" w:cs="Arial"/>
          <w:b/>
          <w:sz w:val="20"/>
          <w:szCs w:val="22"/>
        </w:rPr>
      </w:pPr>
      <w:r w:rsidRPr="006071EA">
        <w:rPr>
          <w:rFonts w:ascii="Arial" w:hAnsi="Arial" w:cs="Arial"/>
          <w:b/>
          <w:sz w:val="20"/>
          <w:szCs w:val="22"/>
        </w:rPr>
        <w:t>Assessment Design Criteria</w:t>
      </w:r>
      <w:r w:rsidR="006071EA">
        <w:rPr>
          <w:rFonts w:ascii="Arial" w:hAnsi="Arial" w:cs="Arial"/>
          <w:b/>
          <w:sz w:val="20"/>
          <w:szCs w:val="22"/>
        </w:rPr>
        <w:t xml:space="preserve"> and Specific Features</w:t>
      </w:r>
      <w:r w:rsidRPr="006071EA">
        <w:rPr>
          <w:rFonts w:ascii="Arial" w:hAnsi="Arial" w:cs="Arial"/>
          <w:b/>
          <w:sz w:val="20"/>
          <w:szCs w:val="22"/>
        </w:rPr>
        <w:t>:</w:t>
      </w:r>
    </w:p>
    <w:p w14:paraId="77966E30" w14:textId="77777777" w:rsidR="00B00AAD" w:rsidRPr="006071EA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120"/>
        <w:ind w:left="284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6071EA">
        <w:rPr>
          <w:rFonts w:ascii="Arial" w:hAnsi="Arial" w:cs="Arial"/>
          <w:b/>
          <w:color w:val="000000"/>
          <w:sz w:val="20"/>
          <w:szCs w:val="22"/>
        </w:rPr>
        <w:t>Gender Analysis</w:t>
      </w:r>
    </w:p>
    <w:p w14:paraId="610E0CE4" w14:textId="77777777" w:rsidR="00B00AAD" w:rsidRPr="006071EA" w:rsidRDefault="00B00AAD" w:rsidP="00C164F7">
      <w:pPr>
        <w:pStyle w:val="SOFinalBulletsCoded2-3Letters"/>
        <w:tabs>
          <w:tab w:val="clear" w:pos="567"/>
        </w:tabs>
        <w:ind w:left="851"/>
        <w:jc w:val="both"/>
        <w:rPr>
          <w:szCs w:val="22"/>
        </w:rPr>
      </w:pPr>
      <w:r w:rsidRPr="006071EA">
        <w:rPr>
          <w:szCs w:val="22"/>
        </w:rPr>
        <w:t>GA3</w:t>
      </w:r>
      <w:r w:rsidRPr="006071EA">
        <w:rPr>
          <w:szCs w:val="22"/>
        </w:rPr>
        <w:tab/>
        <w:t>Identification of ways of effecting change to address gender bias.</w:t>
      </w:r>
    </w:p>
    <w:p w14:paraId="73115E91" w14:textId="77777777" w:rsidR="00B00AAD" w:rsidRPr="006071EA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120"/>
        <w:ind w:left="284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6071EA">
        <w:rPr>
          <w:rFonts w:ascii="Arial" w:hAnsi="Arial" w:cs="Arial"/>
          <w:b/>
          <w:color w:val="000000"/>
          <w:sz w:val="20"/>
          <w:szCs w:val="22"/>
        </w:rPr>
        <w:t xml:space="preserve">Investigation and Evaluation </w:t>
      </w:r>
    </w:p>
    <w:p w14:paraId="7C65D569" w14:textId="77777777" w:rsidR="00B00AAD" w:rsidRPr="006071EA" w:rsidRDefault="00B00AAD" w:rsidP="00C164F7">
      <w:pPr>
        <w:pStyle w:val="SOFinalBulletsCoded2-3Letters"/>
        <w:tabs>
          <w:tab w:val="clear" w:pos="567"/>
        </w:tabs>
        <w:ind w:left="851"/>
        <w:jc w:val="both"/>
        <w:rPr>
          <w:szCs w:val="22"/>
        </w:rPr>
      </w:pPr>
      <w:r w:rsidRPr="006071EA">
        <w:rPr>
          <w:szCs w:val="22"/>
        </w:rPr>
        <w:t>IE1</w:t>
      </w:r>
      <w:r w:rsidRPr="006071EA">
        <w:rPr>
          <w:szCs w:val="22"/>
        </w:rPr>
        <w:tab/>
        <w:t>Investigation and evaluation of the ways in which various social structures, cultural practices, and ways of thinking disempower women.</w:t>
      </w:r>
    </w:p>
    <w:p w14:paraId="69B91D58" w14:textId="77777777" w:rsidR="00B00AAD" w:rsidRPr="006071EA" w:rsidRDefault="00B00AAD" w:rsidP="00C164F7">
      <w:pPr>
        <w:pStyle w:val="SOFinalBulletsCoded2-3Letters"/>
        <w:tabs>
          <w:tab w:val="clear" w:pos="567"/>
        </w:tabs>
        <w:ind w:left="851"/>
        <w:jc w:val="both"/>
        <w:rPr>
          <w:szCs w:val="22"/>
        </w:rPr>
      </w:pPr>
      <w:r w:rsidRPr="006071EA">
        <w:rPr>
          <w:szCs w:val="22"/>
        </w:rPr>
        <w:t>IE2</w:t>
      </w:r>
      <w:r w:rsidRPr="006071EA">
        <w:rPr>
          <w:szCs w:val="22"/>
        </w:rPr>
        <w:tab/>
        <w:t>Evaluation of strategies for empowerment.</w:t>
      </w:r>
    </w:p>
    <w:p w14:paraId="7DA7B113" w14:textId="77777777" w:rsidR="00B00AAD" w:rsidRPr="006071EA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120"/>
        <w:ind w:left="284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6071EA">
        <w:rPr>
          <w:rFonts w:ascii="Arial" w:hAnsi="Arial" w:cs="Arial"/>
          <w:b/>
          <w:color w:val="000000"/>
          <w:sz w:val="20"/>
          <w:szCs w:val="22"/>
        </w:rPr>
        <w:t>Communication</w:t>
      </w:r>
    </w:p>
    <w:p w14:paraId="25412CA0" w14:textId="77777777" w:rsidR="00B00AAD" w:rsidRPr="006071EA" w:rsidRDefault="00B00AAD" w:rsidP="00C164F7">
      <w:pPr>
        <w:pStyle w:val="SOFinalBulletsCoded2-3Letters"/>
        <w:tabs>
          <w:tab w:val="clear" w:pos="567"/>
        </w:tabs>
        <w:ind w:left="851"/>
        <w:jc w:val="both"/>
        <w:rPr>
          <w:szCs w:val="22"/>
        </w:rPr>
      </w:pPr>
      <w:r w:rsidRPr="006071EA">
        <w:rPr>
          <w:szCs w:val="22"/>
        </w:rPr>
        <w:t>C1</w:t>
      </w:r>
      <w:r w:rsidRPr="006071EA">
        <w:rPr>
          <w:szCs w:val="22"/>
        </w:rPr>
        <w:tab/>
        <w:t>Communication of informed ideas about the diversity of women’s experiences.</w:t>
      </w:r>
    </w:p>
    <w:p w14:paraId="5059C061" w14:textId="7E9A9759" w:rsidR="00B00AAD" w:rsidRPr="006071EA" w:rsidRDefault="00B00AAD" w:rsidP="00C164F7">
      <w:pPr>
        <w:pStyle w:val="SOFinalBulletsCoded2-3Letters"/>
        <w:tabs>
          <w:tab w:val="clear" w:pos="567"/>
        </w:tabs>
        <w:spacing w:after="240"/>
        <w:ind w:left="851"/>
        <w:jc w:val="both"/>
        <w:rPr>
          <w:szCs w:val="22"/>
        </w:rPr>
      </w:pPr>
      <w:r w:rsidRPr="006071EA">
        <w:rPr>
          <w:szCs w:val="22"/>
        </w:rPr>
        <w:t>C3</w:t>
      </w:r>
      <w:r w:rsidRPr="006071EA">
        <w:rPr>
          <w:szCs w:val="22"/>
        </w:rPr>
        <w:tab/>
        <w:t xml:space="preserve">Use of appropriate forms, including persuasive </w:t>
      </w:r>
      <w:r w:rsidR="00C164F7">
        <w:rPr>
          <w:szCs w:val="22"/>
        </w:rPr>
        <w:t>communication</w:t>
      </w:r>
      <w:r w:rsidRPr="006071EA">
        <w:rPr>
          <w:szCs w:val="22"/>
        </w:rPr>
        <w:t xml:space="preserve">, and with acknowledgment of sources. </w:t>
      </w:r>
    </w:p>
    <w:p w14:paraId="1E36234E" w14:textId="77777777" w:rsidR="00B00AAD" w:rsidRPr="00B00AAD" w:rsidRDefault="00B00AAD" w:rsidP="00C164F7">
      <w:pPr>
        <w:tabs>
          <w:tab w:val="left" w:pos="851"/>
          <w:tab w:val="right" w:leader="underscore" w:pos="2694"/>
          <w:tab w:val="left" w:pos="3119"/>
          <w:tab w:val="left" w:pos="5103"/>
          <w:tab w:val="left" w:leader="underscore" w:pos="10065"/>
        </w:tabs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0AAD">
        <w:rPr>
          <w:rFonts w:ascii="Arial" w:hAnsi="Arial" w:cs="Arial"/>
          <w:b/>
          <w:color w:val="000000"/>
          <w:sz w:val="22"/>
          <w:szCs w:val="22"/>
        </w:rPr>
        <w:t>Assessment Conditions:</w:t>
      </w:r>
    </w:p>
    <w:p w14:paraId="1DF5278D" w14:textId="77777777" w:rsidR="00E55548" w:rsidRDefault="00B00AAD" w:rsidP="00C164F7">
      <w:pPr>
        <w:tabs>
          <w:tab w:val="right" w:pos="9356"/>
        </w:tabs>
        <w:spacing w:before="240"/>
        <w:ind w:left="567"/>
        <w:jc w:val="both"/>
        <w:rPr>
          <w:rFonts w:ascii="Arial" w:hAnsi="Arial" w:cs="Arial"/>
          <w:b/>
          <w:sz w:val="22"/>
        </w:rPr>
        <w:sectPr w:rsidR="00E55548" w:rsidSect="005E04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1134" w:bottom="1021" w:left="1134" w:header="709" w:footer="709" w:gutter="0"/>
          <w:cols w:space="708"/>
          <w:docGrid w:linePitch="360"/>
        </w:sectPr>
      </w:pPr>
      <w:r w:rsidRPr="006071EA">
        <w:rPr>
          <w:rFonts w:ascii="Arial" w:hAnsi="Arial" w:cs="Arial"/>
          <w:b/>
          <w:sz w:val="22"/>
        </w:rPr>
        <w:t xml:space="preserve">DUE DATE: ……………………………..      </w:t>
      </w:r>
      <w:r w:rsidRPr="006071EA">
        <w:rPr>
          <w:rFonts w:ascii="Arial" w:hAnsi="Arial" w:cs="Arial"/>
          <w:b/>
          <w:sz w:val="22"/>
        </w:rPr>
        <w:tab/>
        <w:t>1000 word maximum</w:t>
      </w:r>
    </w:p>
    <w:p w14:paraId="60FB193F" w14:textId="77777777" w:rsidR="00B00AAD" w:rsidRPr="005E0464" w:rsidRDefault="00B00AAD" w:rsidP="00B00AAD">
      <w:pPr>
        <w:pStyle w:val="SOFinalHead3PerformanceTable"/>
        <w:rPr>
          <w:rFonts w:ascii="Arial" w:hAnsi="Arial" w:cs="Arial"/>
          <w:sz w:val="24"/>
        </w:rPr>
      </w:pPr>
      <w:r w:rsidRPr="005E0464">
        <w:rPr>
          <w:rFonts w:ascii="Arial" w:hAnsi="Arial" w:cs="Arial"/>
          <w:sz w:val="24"/>
        </w:rPr>
        <w:lastRenderedPageBreak/>
        <w:t>Performance Standards for Stage 2 Women’s Studies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1"/>
        <w:gridCol w:w="2086"/>
        <w:gridCol w:w="2613"/>
        <w:gridCol w:w="2140"/>
        <w:gridCol w:w="2578"/>
      </w:tblGrid>
      <w:tr w:rsidR="00B00AAD" w14:paraId="7100CF49" w14:textId="77777777" w:rsidTr="00E55548">
        <w:trPr>
          <w:cantSplit/>
          <w:tblHeader/>
          <w:jc w:val="center"/>
        </w:trPr>
        <w:tc>
          <w:tcPr>
            <w:tcW w:w="393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47B9A" w14:textId="77777777" w:rsidR="00B00AAD" w:rsidRDefault="00B00AAD" w:rsidP="00E55548"/>
        </w:tc>
        <w:tc>
          <w:tcPr>
            <w:tcW w:w="2102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068421" w14:textId="77777777" w:rsidR="00B00AAD" w:rsidRPr="00FD0E38" w:rsidRDefault="00B00AAD" w:rsidP="00E55548">
            <w:pPr>
              <w:pStyle w:val="SOFinalPerformanceTableHead1"/>
              <w:jc w:val="center"/>
            </w:pPr>
            <w:r>
              <w:t>Knowledge and Understanding</w:t>
            </w:r>
          </w:p>
        </w:tc>
        <w:tc>
          <w:tcPr>
            <w:tcW w:w="2656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07E73D" w14:textId="77777777" w:rsidR="00B00AAD" w:rsidRDefault="00B00AAD" w:rsidP="00E55548">
            <w:pPr>
              <w:pStyle w:val="SOFinalPerformanceTableHead1"/>
              <w:jc w:val="center"/>
            </w:pPr>
            <w:r>
              <w:t>Gender Analysis</w:t>
            </w:r>
          </w:p>
        </w:tc>
        <w:tc>
          <w:tcPr>
            <w:tcW w:w="2164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3EF5BD" w14:textId="77777777" w:rsidR="00B00AAD" w:rsidRDefault="00B00AAD" w:rsidP="00E55548">
            <w:pPr>
              <w:pStyle w:val="SOFinalPerformanceTableHead1"/>
              <w:jc w:val="center"/>
            </w:pPr>
            <w:r>
              <w:t>Investigation and Evaluation</w:t>
            </w:r>
          </w:p>
        </w:tc>
        <w:tc>
          <w:tcPr>
            <w:tcW w:w="2607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6620B0" w14:textId="77777777" w:rsidR="00B00AAD" w:rsidRDefault="00B00AAD" w:rsidP="00E55548">
            <w:pPr>
              <w:pStyle w:val="SOFinalPerformanceTableHead1"/>
              <w:jc w:val="center"/>
            </w:pPr>
            <w:r>
              <w:t>Communication</w:t>
            </w:r>
          </w:p>
        </w:tc>
      </w:tr>
      <w:tr w:rsidR="00B00AAD" w14:paraId="0C11C2A6" w14:textId="77777777" w:rsidTr="00E55548">
        <w:trPr>
          <w:cantSplit/>
          <w:trHeight w:val="2662"/>
          <w:jc w:val="center"/>
        </w:trPr>
        <w:tc>
          <w:tcPr>
            <w:tcW w:w="393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471D0B12" w14:textId="77777777" w:rsidR="00B00AAD" w:rsidRDefault="00B00AAD" w:rsidP="00E55548">
            <w:pPr>
              <w:pStyle w:val="SOFinalPerformanceTableLetters"/>
            </w:pPr>
            <w:r>
              <w:t>A</w:t>
            </w:r>
          </w:p>
        </w:tc>
        <w:tc>
          <w:tcPr>
            <w:tcW w:w="2102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03E8C94" w14:textId="77777777" w:rsidR="00B00AAD" w:rsidRPr="003F3C72" w:rsidRDefault="00B00AAD" w:rsidP="00E55548">
            <w:pPr>
              <w:pStyle w:val="SOFinalPerformanceTableText"/>
              <w:rPr>
                <w:color w:val="BFBFBF" w:themeColor="background1" w:themeShade="BF"/>
              </w:rPr>
            </w:pPr>
            <w:r w:rsidRPr="005E0464">
              <w:rPr>
                <w:color w:val="A6A6A6" w:themeColor="background1" w:themeShade="A6"/>
              </w:rPr>
              <w:t>In-depth knowledge and understanding of the meaning of gender and its construction.</w:t>
            </w:r>
          </w:p>
        </w:tc>
        <w:tc>
          <w:tcPr>
            <w:tcW w:w="265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AA3D7D7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Astute and detailed analysis of social implications of gender relations for a diversity of women across contexts, times, and cultures.</w:t>
            </w:r>
          </w:p>
          <w:p w14:paraId="3A9C3749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Perceptive analysis of representations of women for gender bias.</w:t>
            </w:r>
          </w:p>
          <w:p w14:paraId="1601BFBE" w14:textId="77777777" w:rsidR="00B00AAD" w:rsidRPr="003F3C72" w:rsidRDefault="00B00AAD" w:rsidP="00E55548">
            <w:pPr>
              <w:pStyle w:val="SOFinalPerformanceTableText"/>
            </w:pPr>
            <w:r w:rsidRPr="003F3C72">
              <w:t>Discerning identification of ways of effecting change to address gender bias.</w:t>
            </w:r>
          </w:p>
        </w:tc>
        <w:tc>
          <w:tcPr>
            <w:tcW w:w="2164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C2595CB" w14:textId="77777777" w:rsidR="00B00AAD" w:rsidRPr="003F3C72" w:rsidRDefault="00B00AAD" w:rsidP="00E55548">
            <w:pPr>
              <w:pStyle w:val="SOFinalPerformanceTableText"/>
            </w:pPr>
            <w:r w:rsidRPr="003F3C72">
              <w:t>In-depth investigation and evaluation of the ways in which various social structures, cultural practices, and ways of thinking disempower women.</w:t>
            </w:r>
          </w:p>
          <w:p w14:paraId="28F0684F" w14:textId="77777777" w:rsidR="00B00AAD" w:rsidRPr="003F3C72" w:rsidRDefault="00B00AAD" w:rsidP="00E55548">
            <w:pPr>
              <w:pStyle w:val="SOFinalPerformanceTableText"/>
            </w:pPr>
            <w:r w:rsidRPr="003F3C72">
              <w:t>Perceptive and insightful evaluation of a range of strategies for empowerment.</w:t>
            </w:r>
          </w:p>
        </w:tc>
        <w:tc>
          <w:tcPr>
            <w:tcW w:w="2607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9DE7731" w14:textId="77777777" w:rsidR="00B00AAD" w:rsidRPr="003F3C72" w:rsidRDefault="00B00AAD" w:rsidP="00E55548">
            <w:pPr>
              <w:pStyle w:val="SOFinalPerformanceTableText"/>
            </w:pPr>
            <w:r w:rsidRPr="003F3C72">
              <w:t xml:space="preserve">Perceptive and coherent communication of informed ideas about the diversity of women’s experiences. </w:t>
            </w:r>
          </w:p>
          <w:p w14:paraId="568F5A22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Perceptive use of the language of gender analysis.</w:t>
            </w:r>
          </w:p>
          <w:p w14:paraId="5481A131" w14:textId="67980625" w:rsidR="00B00AAD" w:rsidRPr="003F3C72" w:rsidRDefault="00B00AAD" w:rsidP="00E55548">
            <w:pPr>
              <w:pStyle w:val="SOFinalPerformanceTableText"/>
            </w:pPr>
            <w:r w:rsidRPr="003F3C72">
              <w:t xml:space="preserve">Discerning use of highly appropriate forms, including persuasive </w:t>
            </w:r>
            <w:r w:rsidR="00C164F7">
              <w:t>communication</w:t>
            </w:r>
            <w:r w:rsidRPr="003F3C72">
              <w:t>, and with clear acknowledgment of sources.</w:t>
            </w:r>
          </w:p>
        </w:tc>
      </w:tr>
      <w:tr w:rsidR="00B00AAD" w14:paraId="2999DB19" w14:textId="77777777" w:rsidTr="00E55548">
        <w:trPr>
          <w:cantSplit/>
          <w:trHeight w:val="2332"/>
          <w:jc w:val="center"/>
        </w:trPr>
        <w:tc>
          <w:tcPr>
            <w:tcW w:w="393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06518B9" w14:textId="77777777" w:rsidR="00B00AAD" w:rsidRDefault="00B00AAD" w:rsidP="00E55548">
            <w:pPr>
              <w:pStyle w:val="SOFinalPerformanceTableLetters"/>
            </w:pPr>
            <w:r>
              <w:t>B</w:t>
            </w:r>
          </w:p>
        </w:tc>
        <w:tc>
          <w:tcPr>
            <w:tcW w:w="210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1723072" w14:textId="77777777" w:rsidR="00B00AAD" w:rsidRPr="003F3C72" w:rsidRDefault="00B00AAD" w:rsidP="00E55548">
            <w:pPr>
              <w:pStyle w:val="SOFinalPerformanceTableText"/>
              <w:rPr>
                <w:color w:val="BFBFBF" w:themeColor="background1" w:themeShade="BF"/>
              </w:rPr>
            </w:pPr>
            <w:r w:rsidRPr="005E0464">
              <w:rPr>
                <w:color w:val="A6A6A6" w:themeColor="background1" w:themeShade="A6"/>
              </w:rPr>
              <w:t>Some depth in knowledge and understanding of the meaning of gender and its construction.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4B96AF0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Detailed analysis of social implications of gender relations for a diversity of women across contexts, times, and cultures.</w:t>
            </w:r>
          </w:p>
          <w:p w14:paraId="08487E1D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Well-considered analysis of representations of women for gender bias.</w:t>
            </w:r>
          </w:p>
          <w:p w14:paraId="601ADB00" w14:textId="77777777" w:rsidR="00B00AAD" w:rsidRPr="003F3C72" w:rsidRDefault="00B00AAD" w:rsidP="00E55548">
            <w:pPr>
              <w:pStyle w:val="SOFinalPerformanceTableText"/>
            </w:pPr>
            <w:r w:rsidRPr="003F3C72">
              <w:t>Clear identification of ways of effecting change to address gender bias.</w:t>
            </w:r>
          </w:p>
        </w:tc>
        <w:tc>
          <w:tcPr>
            <w:tcW w:w="216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1507F3F" w14:textId="77777777" w:rsidR="00B00AAD" w:rsidRPr="003F3C72" w:rsidRDefault="00B00AAD" w:rsidP="00E55548">
            <w:pPr>
              <w:pStyle w:val="SOFinalPerformanceTableText"/>
            </w:pPr>
            <w:r w:rsidRPr="003F3C72">
              <w:t>Some depth in investigation and evaluation of the ways in which various social structures, cultural practices, and ways of thinking disempower women.</w:t>
            </w:r>
          </w:p>
          <w:p w14:paraId="082E4B1D" w14:textId="77777777" w:rsidR="00B00AAD" w:rsidRPr="003F3C72" w:rsidRDefault="00B00AAD" w:rsidP="00E55548">
            <w:pPr>
              <w:pStyle w:val="SOFinalPerformanceTableText"/>
            </w:pPr>
            <w:r w:rsidRPr="003F3C72">
              <w:t>Well-considered evaluation of strategies for empowerment.</w:t>
            </w:r>
          </w:p>
        </w:tc>
        <w:tc>
          <w:tcPr>
            <w:tcW w:w="260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30445FD" w14:textId="77777777" w:rsidR="00B00AAD" w:rsidRPr="003F3C72" w:rsidRDefault="00B00AAD" w:rsidP="00E55548">
            <w:pPr>
              <w:pStyle w:val="SOFinalPerformanceTableText"/>
            </w:pPr>
            <w:r w:rsidRPr="003F3C72">
              <w:t xml:space="preserve">Mostly clear and convincing communication of informed ideas about the diversity of women’s experiences. </w:t>
            </w:r>
          </w:p>
          <w:p w14:paraId="05FDF7EF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Thoughtful use of the language of gender analysis.</w:t>
            </w:r>
          </w:p>
          <w:p w14:paraId="7B1D2ED0" w14:textId="1CAA7757" w:rsidR="00B00AAD" w:rsidRPr="003F3C72" w:rsidRDefault="00B00AAD" w:rsidP="00E55548">
            <w:pPr>
              <w:pStyle w:val="SOFinalPerformanceTableText"/>
            </w:pPr>
            <w:r w:rsidRPr="003F3C72">
              <w:t xml:space="preserve">Well-considered use of appropriate forms, including persuasive </w:t>
            </w:r>
            <w:r w:rsidR="00C164F7">
              <w:t>communication</w:t>
            </w:r>
            <w:r w:rsidRPr="003F3C72">
              <w:t>, and with clear acknowledgment of sources.</w:t>
            </w:r>
          </w:p>
        </w:tc>
      </w:tr>
      <w:tr w:rsidR="00B00AAD" w14:paraId="75469C30" w14:textId="77777777" w:rsidTr="00E55548">
        <w:trPr>
          <w:cantSplit/>
          <w:trHeight w:val="2594"/>
          <w:jc w:val="center"/>
        </w:trPr>
        <w:tc>
          <w:tcPr>
            <w:tcW w:w="393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0E77198A" w14:textId="77777777" w:rsidR="00B00AAD" w:rsidRDefault="00B00AAD" w:rsidP="00E55548">
            <w:pPr>
              <w:pStyle w:val="SOFinalPerformanceTableLetters"/>
            </w:pPr>
            <w:r>
              <w:t>C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A1B733E" w14:textId="77777777" w:rsidR="00B00AAD" w:rsidRPr="003F3C72" w:rsidRDefault="00B00AAD" w:rsidP="00E55548">
            <w:pPr>
              <w:pStyle w:val="SOFinalPerformanceTableText"/>
              <w:rPr>
                <w:color w:val="BFBFBF" w:themeColor="background1" w:themeShade="BF"/>
              </w:rPr>
            </w:pPr>
            <w:r w:rsidRPr="005E0464">
              <w:rPr>
                <w:color w:val="A6A6A6" w:themeColor="background1" w:themeShade="A6"/>
              </w:rPr>
              <w:t>Considered knowledge and understanding of the meaning of gender and its construction.</w:t>
            </w:r>
          </w:p>
        </w:tc>
        <w:tc>
          <w:tcPr>
            <w:tcW w:w="265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A20B629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Generally competent analysis of social implications of gender relations for a diversity of women across contexts, times, and cultures.</w:t>
            </w:r>
          </w:p>
          <w:p w14:paraId="33F93C48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 xml:space="preserve">Considered analysis of representations of women for gender bias. </w:t>
            </w:r>
          </w:p>
          <w:p w14:paraId="7B8A5385" w14:textId="77777777" w:rsidR="00B00AAD" w:rsidRPr="003F3C72" w:rsidRDefault="00B00AAD" w:rsidP="00E55548">
            <w:pPr>
              <w:pStyle w:val="SOFinalPerformanceTableText"/>
            </w:pPr>
            <w:r w:rsidRPr="003F3C72">
              <w:t>Competent identification of ways of effecting change to address gender bias.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4B30C75" w14:textId="77777777" w:rsidR="00B00AAD" w:rsidRPr="003F3C72" w:rsidRDefault="00B00AAD" w:rsidP="00E55548">
            <w:pPr>
              <w:pStyle w:val="SOFinalPerformanceTableText"/>
            </w:pPr>
            <w:r w:rsidRPr="003F3C72">
              <w:t xml:space="preserve">Competent investigation and evaluation of the ways in which various social structures, cultural practices, and ways of thinking disempower women. </w:t>
            </w:r>
          </w:p>
          <w:p w14:paraId="63F190C9" w14:textId="77777777" w:rsidR="00B00AAD" w:rsidRPr="003F3C72" w:rsidRDefault="00B00AAD" w:rsidP="00E55548">
            <w:pPr>
              <w:pStyle w:val="SOFinalPerformanceTableText"/>
            </w:pPr>
            <w:r w:rsidRPr="003F3C72">
              <w:t>Considered evaluation of strategies for empowerment.</w:t>
            </w:r>
          </w:p>
        </w:tc>
        <w:tc>
          <w:tcPr>
            <w:tcW w:w="260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54C5645" w14:textId="77777777" w:rsidR="00B00AAD" w:rsidRPr="003F3C72" w:rsidRDefault="00B00AAD" w:rsidP="00E55548">
            <w:pPr>
              <w:pStyle w:val="SOFinalPerformanceTableText"/>
            </w:pPr>
            <w:r w:rsidRPr="003F3C72">
              <w:t>Generally clear communication of informed ideas about the diversity of women’s experiences.</w:t>
            </w:r>
          </w:p>
          <w:p w14:paraId="1C967A72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Generally competent use of the language of gender analysis.</w:t>
            </w:r>
          </w:p>
          <w:p w14:paraId="53E43809" w14:textId="492B320D" w:rsidR="00B00AAD" w:rsidRPr="003F3C72" w:rsidRDefault="00B00AAD" w:rsidP="00E55548">
            <w:pPr>
              <w:pStyle w:val="SOFinalPerformanceTableText"/>
            </w:pPr>
            <w:r w:rsidRPr="003F3C72">
              <w:t xml:space="preserve">Considered use of mostly appropriate forms, including persuasive </w:t>
            </w:r>
            <w:r w:rsidR="00C164F7">
              <w:t>communication</w:t>
            </w:r>
            <w:r w:rsidRPr="003F3C72">
              <w:t>, and with generally clear acknowledgment of sources.</w:t>
            </w:r>
          </w:p>
        </w:tc>
      </w:tr>
      <w:tr w:rsidR="00B00AAD" w14:paraId="24D347B0" w14:textId="77777777" w:rsidTr="00E55548">
        <w:trPr>
          <w:cantSplit/>
          <w:trHeight w:val="2604"/>
          <w:jc w:val="center"/>
        </w:trPr>
        <w:tc>
          <w:tcPr>
            <w:tcW w:w="393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0E2E55C" w14:textId="77777777" w:rsidR="00B00AAD" w:rsidRDefault="00B00AAD" w:rsidP="00E55548">
            <w:pPr>
              <w:pStyle w:val="SOFinalPerformanceTableLetters"/>
            </w:pPr>
            <w:r>
              <w:t>D</w:t>
            </w:r>
          </w:p>
        </w:tc>
        <w:tc>
          <w:tcPr>
            <w:tcW w:w="210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B85C115" w14:textId="77777777" w:rsidR="00B00AAD" w:rsidRPr="003F3C72" w:rsidRDefault="00B00AAD" w:rsidP="00E55548">
            <w:pPr>
              <w:pStyle w:val="SOFinalPerformanceTableText"/>
              <w:rPr>
                <w:color w:val="BFBFBF" w:themeColor="background1" w:themeShade="BF"/>
              </w:rPr>
            </w:pPr>
            <w:r w:rsidRPr="005E0464">
              <w:rPr>
                <w:color w:val="A6A6A6" w:themeColor="background1" w:themeShade="A6"/>
                <w:lang w:val="en-US"/>
              </w:rPr>
              <w:t>Recognition</w:t>
            </w:r>
            <w:r w:rsidRPr="005E0464">
              <w:rPr>
                <w:color w:val="A6A6A6" w:themeColor="background1" w:themeShade="A6"/>
              </w:rPr>
              <w:t xml:space="preserve"> and some awareness of the meaning of gender and its construction.</w:t>
            </w:r>
          </w:p>
        </w:tc>
        <w:tc>
          <w:tcPr>
            <w:tcW w:w="265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54D011F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Some attempted analysis, with mostly description, of social implications of gender relations for women.</w:t>
            </w:r>
          </w:p>
          <w:p w14:paraId="1630C879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Some consideration of representations of women for gender bias.</w:t>
            </w:r>
          </w:p>
          <w:p w14:paraId="68878500" w14:textId="77777777" w:rsidR="00B00AAD" w:rsidRPr="003F3C72" w:rsidRDefault="00B00AAD" w:rsidP="00E55548">
            <w:pPr>
              <w:pStyle w:val="SOFinalPerformanceTableText"/>
            </w:pPr>
            <w:r w:rsidRPr="003F3C72">
              <w:t>Identification and some description of one or more ways of effecting change to address gender bias.</w:t>
            </w:r>
          </w:p>
        </w:tc>
        <w:tc>
          <w:tcPr>
            <w:tcW w:w="216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2062FEF" w14:textId="77777777" w:rsidR="00B00AAD" w:rsidRPr="003F3C72" w:rsidRDefault="00B00AAD" w:rsidP="00E55548">
            <w:pPr>
              <w:pStyle w:val="SOFinalPerformanceTableText"/>
            </w:pPr>
            <w:r w:rsidRPr="003F3C72">
              <w:t>Consideration of one or more ways in which social structures, cultural practices, and ways of thinking disempower women.</w:t>
            </w:r>
          </w:p>
          <w:p w14:paraId="3269C2FC" w14:textId="77777777" w:rsidR="00B00AAD" w:rsidRPr="003F3C72" w:rsidRDefault="00B00AAD" w:rsidP="00E55548">
            <w:pPr>
              <w:pStyle w:val="SOFinalPerformanceTableText"/>
            </w:pPr>
            <w:r w:rsidRPr="003F3C72">
              <w:t>Some description of strategies for empowerment.</w:t>
            </w:r>
          </w:p>
        </w:tc>
        <w:tc>
          <w:tcPr>
            <w:tcW w:w="26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E6A0B40" w14:textId="77777777" w:rsidR="00B00AAD" w:rsidRPr="003F3C72" w:rsidRDefault="00B00AAD" w:rsidP="00E55548">
            <w:pPr>
              <w:pStyle w:val="SOFinalPerformanceTableText"/>
            </w:pPr>
            <w:r w:rsidRPr="003F3C72">
              <w:t>Some endeavour to communicate basic ideas about the diversity of women’s experiences.</w:t>
            </w:r>
          </w:p>
          <w:p w14:paraId="653E5796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Some use of the language of gender analysis.</w:t>
            </w:r>
          </w:p>
          <w:p w14:paraId="23B2FE52" w14:textId="77777777" w:rsidR="00B00AAD" w:rsidRPr="003F3C72" w:rsidRDefault="00B00AAD" w:rsidP="00E55548">
            <w:pPr>
              <w:pStyle w:val="SOFinalPerformanceTableText"/>
            </w:pPr>
            <w:r w:rsidRPr="003F3C72">
              <w:t>Some use of one or more forms that may be appropriate, and with limited acknowledgment of sources.</w:t>
            </w:r>
          </w:p>
        </w:tc>
      </w:tr>
      <w:tr w:rsidR="00B00AAD" w14:paraId="334BDBBE" w14:textId="77777777" w:rsidTr="00E55548">
        <w:trPr>
          <w:cantSplit/>
          <w:jc w:val="center"/>
        </w:trPr>
        <w:tc>
          <w:tcPr>
            <w:tcW w:w="393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5871F1BE" w14:textId="77777777" w:rsidR="00B00AAD" w:rsidRDefault="00B00AAD" w:rsidP="00E55548">
            <w:pPr>
              <w:pStyle w:val="SOFinalPerformanceTableLetters"/>
            </w:pPr>
            <w:r>
              <w:t>E</w:t>
            </w:r>
          </w:p>
        </w:tc>
        <w:tc>
          <w:tcPr>
            <w:tcW w:w="210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653F8D1" w14:textId="77777777" w:rsidR="00B00AAD" w:rsidRPr="003F3C72" w:rsidRDefault="00B00AAD" w:rsidP="00E55548">
            <w:pPr>
              <w:pStyle w:val="SOFinalPerformanceTableText"/>
              <w:rPr>
                <w:color w:val="BFBFBF" w:themeColor="background1" w:themeShade="BF"/>
              </w:rPr>
            </w:pPr>
            <w:r w:rsidRPr="005E0464">
              <w:rPr>
                <w:color w:val="A6A6A6" w:themeColor="background1" w:themeShade="A6"/>
              </w:rPr>
              <w:t xml:space="preserve">Emerging awareness of the meaning of gender and its construction. 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E7D27E3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Brief description of one or more social implications of gender relations for women.</w:t>
            </w:r>
          </w:p>
          <w:p w14:paraId="227037FD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Limited consideration of representations of women for gender bias.</w:t>
            </w:r>
          </w:p>
          <w:p w14:paraId="46209696" w14:textId="77777777" w:rsidR="00B00AAD" w:rsidRPr="003F3C72" w:rsidRDefault="00B00AAD" w:rsidP="00E55548">
            <w:pPr>
              <w:pStyle w:val="SOFinalPerformanceTableText"/>
            </w:pPr>
            <w:r w:rsidRPr="003F3C72">
              <w:t>Identification of a way of effecting change to address gender bias.</w:t>
            </w:r>
          </w:p>
        </w:tc>
        <w:tc>
          <w:tcPr>
            <w:tcW w:w="216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B3DE2BD" w14:textId="77777777" w:rsidR="00B00AAD" w:rsidRPr="003F3C72" w:rsidRDefault="00B00AAD" w:rsidP="00E55548">
            <w:pPr>
              <w:pStyle w:val="SOFinalPerformanceTableText"/>
            </w:pPr>
            <w:r w:rsidRPr="003F3C72">
              <w:t xml:space="preserve">Attempted description of a way in which social structures, cultural practices, or ways of thinking disempower women. </w:t>
            </w:r>
          </w:p>
          <w:p w14:paraId="40305C3B" w14:textId="77777777" w:rsidR="00B00AAD" w:rsidRPr="003F3C72" w:rsidRDefault="00B00AAD" w:rsidP="00E55548">
            <w:pPr>
              <w:pStyle w:val="SOFinalPerformanceTableText"/>
            </w:pPr>
            <w:r w:rsidRPr="003F3C72">
              <w:t>Identification of elements of a strategy for empowerment.</w:t>
            </w:r>
          </w:p>
        </w:tc>
        <w:tc>
          <w:tcPr>
            <w:tcW w:w="260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1A4F08BF" w14:textId="77777777" w:rsidR="00B00AAD" w:rsidRPr="003F3C72" w:rsidRDefault="00B00AAD" w:rsidP="00E55548">
            <w:pPr>
              <w:pStyle w:val="SOFinalPerformanceTableText"/>
            </w:pPr>
            <w:r w:rsidRPr="003F3C72">
              <w:t xml:space="preserve">Limited attempt to communicate basic ideas about the diversity of women’s experiences. </w:t>
            </w:r>
          </w:p>
          <w:p w14:paraId="650F3B89" w14:textId="77777777" w:rsidR="00B00AAD" w:rsidRPr="005E0464" w:rsidRDefault="00B00AAD" w:rsidP="00E55548">
            <w:pPr>
              <w:pStyle w:val="SOFinalPerformanceTableText"/>
              <w:rPr>
                <w:color w:val="A6A6A6" w:themeColor="background1" w:themeShade="A6"/>
              </w:rPr>
            </w:pPr>
            <w:r w:rsidRPr="005E0464">
              <w:rPr>
                <w:color w:val="A6A6A6" w:themeColor="background1" w:themeShade="A6"/>
              </w:rPr>
              <w:t>Emerging use of the language of gender analysis.</w:t>
            </w:r>
          </w:p>
          <w:p w14:paraId="146BE0CC" w14:textId="77777777" w:rsidR="00B00AAD" w:rsidRPr="003F3C72" w:rsidRDefault="00B00AAD" w:rsidP="00E55548">
            <w:pPr>
              <w:pStyle w:val="SOFinalPerformanceTableText"/>
            </w:pPr>
            <w:r w:rsidRPr="003F3C72">
              <w:t>Attempted use of one or more forms, with limited appropriateness, and limited acknowledgment of sources.</w:t>
            </w:r>
          </w:p>
          <w:p w14:paraId="099BA66A" w14:textId="77777777" w:rsidR="00B00AAD" w:rsidRPr="003F3C72" w:rsidRDefault="00B00AAD" w:rsidP="00E55548">
            <w:pPr>
              <w:pStyle w:val="SOFinalPerformanceTableText"/>
            </w:pPr>
          </w:p>
        </w:tc>
      </w:tr>
    </w:tbl>
    <w:p w14:paraId="0039DA73" w14:textId="77777777" w:rsidR="00B00AAD" w:rsidRPr="00B00AAD" w:rsidRDefault="00B00AAD">
      <w:pPr>
        <w:rPr>
          <w:rFonts w:cs="Arial"/>
          <w:szCs w:val="22"/>
        </w:rPr>
      </w:pPr>
    </w:p>
    <w:sectPr w:rsidR="00B00AAD" w:rsidRPr="00B00AAD" w:rsidSect="005E0464">
      <w:pgSz w:w="11906" w:h="16838" w:code="9"/>
      <w:pgMar w:top="1021" w:right="1134" w:bottom="1021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F0A8" w14:textId="77777777" w:rsidR="0071224B" w:rsidRDefault="0071224B" w:rsidP="005E0464">
      <w:r>
        <w:separator/>
      </w:r>
    </w:p>
  </w:endnote>
  <w:endnote w:type="continuationSeparator" w:id="0">
    <w:p w14:paraId="407D6EBF" w14:textId="77777777" w:rsidR="0071224B" w:rsidRDefault="0071224B" w:rsidP="005E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8CEE" w14:textId="6AAF3D32" w:rsidR="00C164F7" w:rsidRDefault="00C164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CB8CC4" wp14:editId="334594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9834914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FB875" w14:textId="7FA41C71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B8C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78FB875" w14:textId="7FA41C71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6CD9" w14:textId="38704C97" w:rsidR="005E0464" w:rsidRPr="00EB32D7" w:rsidRDefault="00C164F7" w:rsidP="00EB32D7">
    <w:pPr>
      <w:pStyle w:val="Footer"/>
      <w:tabs>
        <w:tab w:val="right" w:pos="9540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47370CE1" wp14:editId="0530040B">
              <wp:simplePos x="723014" y="971815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37243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4B284" w14:textId="69613EAD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70C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0A4B284" w14:textId="69613EAD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E0464" w:rsidRPr="00EB32D7">
      <w:rPr>
        <w:rFonts w:ascii="Arial" w:hAnsi="Arial" w:cs="Arial"/>
        <w:sz w:val="16"/>
        <w:szCs w:val="16"/>
      </w:rPr>
      <w:t xml:space="preserve">Page </w:t>
    </w:r>
    <w:r w:rsidR="005E0464" w:rsidRPr="00EB32D7">
      <w:rPr>
        <w:rFonts w:ascii="Arial" w:hAnsi="Arial" w:cs="Arial"/>
        <w:sz w:val="16"/>
        <w:szCs w:val="16"/>
      </w:rPr>
      <w:fldChar w:fldCharType="begin"/>
    </w:r>
    <w:r w:rsidR="005E0464" w:rsidRPr="00EB32D7">
      <w:rPr>
        <w:rFonts w:ascii="Arial" w:hAnsi="Arial" w:cs="Arial"/>
        <w:sz w:val="16"/>
        <w:szCs w:val="16"/>
      </w:rPr>
      <w:instrText xml:space="preserve"> PAGE </w:instrText>
    </w:r>
    <w:r w:rsidR="005E0464" w:rsidRPr="00EB32D7">
      <w:rPr>
        <w:rFonts w:ascii="Arial" w:hAnsi="Arial" w:cs="Arial"/>
        <w:sz w:val="16"/>
        <w:szCs w:val="16"/>
      </w:rPr>
      <w:fldChar w:fldCharType="separate"/>
    </w:r>
    <w:r w:rsidR="00E85375">
      <w:rPr>
        <w:rFonts w:ascii="Arial" w:hAnsi="Arial" w:cs="Arial"/>
        <w:noProof/>
        <w:sz w:val="16"/>
        <w:szCs w:val="16"/>
      </w:rPr>
      <w:t>1</w:t>
    </w:r>
    <w:r w:rsidR="005E0464" w:rsidRPr="00EB32D7">
      <w:rPr>
        <w:rFonts w:ascii="Arial" w:hAnsi="Arial" w:cs="Arial"/>
        <w:sz w:val="16"/>
        <w:szCs w:val="16"/>
      </w:rPr>
      <w:fldChar w:fldCharType="end"/>
    </w:r>
    <w:r w:rsidR="005E0464">
      <w:rPr>
        <w:rFonts w:ascii="Arial" w:hAnsi="Arial" w:cs="Arial"/>
        <w:sz w:val="16"/>
        <w:szCs w:val="16"/>
      </w:rPr>
      <w:t xml:space="preserve"> of 2</w:t>
    </w:r>
    <w:r w:rsidR="005E0464">
      <w:rPr>
        <w:rFonts w:ascii="Arial" w:hAnsi="Arial" w:cs="Arial"/>
        <w:sz w:val="16"/>
        <w:szCs w:val="16"/>
      </w:rPr>
      <w:tab/>
    </w:r>
    <w:r w:rsidR="005E0464">
      <w:rPr>
        <w:rFonts w:ascii="Arial" w:hAnsi="Arial" w:cs="Arial"/>
        <w:sz w:val="16"/>
        <w:szCs w:val="16"/>
      </w:rPr>
      <w:tab/>
    </w:r>
    <w:r w:rsidR="005E0464" w:rsidRPr="00EB32D7">
      <w:rPr>
        <w:rFonts w:ascii="Arial" w:hAnsi="Arial" w:cs="Arial"/>
        <w:sz w:val="16"/>
        <w:szCs w:val="16"/>
      </w:rPr>
      <w:t xml:space="preserve">Stage 2 </w:t>
    </w:r>
    <w:r w:rsidR="005E0464">
      <w:rPr>
        <w:rFonts w:ascii="Arial" w:hAnsi="Arial" w:cs="Arial"/>
        <w:sz w:val="16"/>
        <w:szCs w:val="16"/>
      </w:rPr>
      <w:t>Women’s Studies task</w:t>
    </w:r>
  </w:p>
  <w:p w14:paraId="0B8B755C" w14:textId="292CF5AB" w:rsidR="005E0464" w:rsidRPr="00EB32D7" w:rsidRDefault="005E0464" w:rsidP="00EB32D7">
    <w:pPr>
      <w:pStyle w:val="Footer"/>
      <w:tabs>
        <w:tab w:val="right" w:pos="9540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 w:rsidRPr="00EB32D7">
      <w:rPr>
        <w:rFonts w:ascii="Arial" w:hAnsi="Arial" w:cs="Arial"/>
        <w:sz w:val="16"/>
        <w:szCs w:val="16"/>
      </w:rPr>
      <w:tab/>
    </w:r>
    <w:r w:rsidRPr="00EB32D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Ref: A205927 </w:t>
    </w:r>
    <w:r w:rsidRPr="00EB32D7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August 2012</w:t>
    </w:r>
    <w:r w:rsidR="00C164F7">
      <w:rPr>
        <w:rFonts w:ascii="Arial" w:hAnsi="Arial" w:cs="Arial"/>
        <w:sz w:val="16"/>
        <w:szCs w:val="16"/>
      </w:rPr>
      <w:t>, updated November 2024</w:t>
    </w:r>
    <w:r w:rsidRPr="00EB32D7">
      <w:rPr>
        <w:rFonts w:ascii="Arial" w:hAnsi="Arial" w:cs="Arial"/>
        <w:sz w:val="16"/>
        <w:szCs w:val="16"/>
      </w:rPr>
      <w:t>)</w:t>
    </w:r>
  </w:p>
  <w:p w14:paraId="00220A91" w14:textId="77777777" w:rsidR="005E0464" w:rsidRPr="00EB32D7" w:rsidRDefault="005E0464" w:rsidP="00EB32D7">
    <w:pPr>
      <w:pStyle w:val="Footer"/>
      <w:tabs>
        <w:tab w:val="right" w:pos="9540"/>
      </w:tabs>
      <w:ind w:right="142"/>
      <w:rPr>
        <w:rFonts w:ascii="Arial" w:hAnsi="Arial" w:cs="Arial"/>
        <w:sz w:val="16"/>
        <w:szCs w:val="16"/>
      </w:rPr>
    </w:pPr>
    <w:r w:rsidRPr="00EB32D7">
      <w:rPr>
        <w:rFonts w:ascii="Arial" w:hAnsi="Arial" w:cs="Arial"/>
        <w:sz w:val="16"/>
        <w:szCs w:val="16"/>
      </w:rPr>
      <w:tab/>
    </w:r>
    <w:r w:rsidRPr="00EB32D7">
      <w:rPr>
        <w:rFonts w:ascii="Arial" w:hAnsi="Arial" w:cs="Arial"/>
        <w:sz w:val="16"/>
        <w:szCs w:val="16"/>
      </w:rPr>
      <w:tab/>
      <w:t>© SACE Board of South Australia 201</w:t>
    </w:r>
    <w:r>
      <w:rPr>
        <w:rFonts w:ascii="Arial" w:hAnsi="Arial" w:cs="Arial"/>
        <w:sz w:val="16"/>
        <w:szCs w:val="16"/>
      </w:rPr>
      <w:t>2</w:t>
    </w:r>
  </w:p>
  <w:p w14:paraId="34FBFC5F" w14:textId="77777777" w:rsidR="005E0464" w:rsidRDefault="005E0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DA6E" w14:textId="411B79AA" w:rsidR="00C164F7" w:rsidRDefault="00C164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6174BD1" wp14:editId="559156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1124827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5A74F" w14:textId="1C304F7A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74B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545A74F" w14:textId="1C304F7A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01A8" w14:textId="77777777" w:rsidR="0071224B" w:rsidRDefault="0071224B" w:rsidP="005E0464">
      <w:r>
        <w:separator/>
      </w:r>
    </w:p>
  </w:footnote>
  <w:footnote w:type="continuationSeparator" w:id="0">
    <w:p w14:paraId="4FD401E9" w14:textId="77777777" w:rsidR="0071224B" w:rsidRDefault="0071224B" w:rsidP="005E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59E0" w14:textId="21C6AC63" w:rsidR="00C164F7" w:rsidRDefault="00C16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D02270" wp14:editId="2844B3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827183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DD46" w14:textId="6D1ECAC0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022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3FDDD46" w14:textId="6D1ECAC0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46F62" w14:textId="7F79D92F" w:rsidR="00C164F7" w:rsidRDefault="00C16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DE886" wp14:editId="062A1159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311144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000A6" w14:textId="5BE5A0AB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DE8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37C000A6" w14:textId="5BE5A0AB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2E22" w14:textId="5D027AFD" w:rsidR="00C164F7" w:rsidRDefault="00C164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35306C" wp14:editId="7E763C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110562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43089" w14:textId="2A16CFD0" w:rsidR="00C164F7" w:rsidRPr="00C164F7" w:rsidRDefault="00C164F7" w:rsidP="00C164F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C164F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530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22943089" w14:textId="2A16CFD0" w:rsidR="00C164F7" w:rsidRPr="00C164F7" w:rsidRDefault="00C164F7" w:rsidP="00C164F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C164F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7FB3"/>
    <w:multiLevelType w:val="hybridMultilevel"/>
    <w:tmpl w:val="A5903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66C3"/>
    <w:multiLevelType w:val="hybridMultilevel"/>
    <w:tmpl w:val="446C5B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3773E"/>
    <w:multiLevelType w:val="hybridMultilevel"/>
    <w:tmpl w:val="221E529C"/>
    <w:lvl w:ilvl="0" w:tplc="A586B3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93483242">
    <w:abstractNumId w:val="1"/>
  </w:num>
  <w:num w:numId="2" w16cid:durableId="918059815">
    <w:abstractNumId w:val="2"/>
  </w:num>
  <w:num w:numId="3" w16cid:durableId="138163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AD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C70A3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3C72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537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E0464"/>
    <w:rsid w:val="006071EA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1224B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002F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288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9A6"/>
    <w:rsid w:val="00AF2A2A"/>
    <w:rsid w:val="00AF5EA0"/>
    <w:rsid w:val="00B007B0"/>
    <w:rsid w:val="00B00AAD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164F7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5548"/>
    <w:rsid w:val="00E56E7A"/>
    <w:rsid w:val="00E71CEA"/>
    <w:rsid w:val="00E72709"/>
    <w:rsid w:val="00E85375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E8121"/>
  <w15:docId w15:val="{A5DD27DC-BC31-4CC4-9E3A-5572A779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A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PerformanceTable">
    <w:name w:val="SO Final Head 3 (Performance Table)"/>
    <w:rsid w:val="00B00AAD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PerformanceTableHead1">
    <w:name w:val="SO Final Performance Table Head 1"/>
    <w:rsid w:val="00B00AAD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B00AAD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00AAD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00A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 w:eastAsia="en-AU"/>
    </w:rPr>
  </w:style>
  <w:style w:type="paragraph" w:customStyle="1" w:styleId="SOFinalBulletsCoded2-3Letters">
    <w:name w:val="SO Final Bullets Coded (2-3 Letters)"/>
    <w:link w:val="SOFinalBulletsCoded2-3LettersChar"/>
    <w:rsid w:val="00B00AAD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/>
    </w:rPr>
  </w:style>
  <w:style w:type="character" w:customStyle="1" w:styleId="SOFinalBulletsCoded2-3LettersChar">
    <w:name w:val="SO Final Bullets Coded (2-3 Letters) Char"/>
    <w:basedOn w:val="DefaultParagraphFont"/>
    <w:link w:val="SOFinalBulletsCoded2-3Letters"/>
    <w:rsid w:val="00B00AAD"/>
    <w:rPr>
      <w:rFonts w:ascii="Arial" w:eastAsia="MS Mincho" w:hAnsi="Arial" w:cs="Arial"/>
      <w:color w:val="00000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00A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C7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70A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5E04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0464"/>
    <w:rPr>
      <w:sz w:val="24"/>
      <w:szCs w:val="24"/>
      <w:lang w:val="en-US" w:eastAsia="en-US"/>
    </w:rPr>
  </w:style>
  <w:style w:type="paragraph" w:styleId="Footer">
    <w:name w:val="footer"/>
    <w:aliases w:val="footnote"/>
    <w:basedOn w:val="Normal"/>
    <w:link w:val="FooterChar"/>
    <w:rsid w:val="005E0464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5E04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fr.org/experts/india-egypt-pakistan/isobel-coleman/b5206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cfr.org/experts/india-egypt-pakistan/isobel-coleman/b5206" TargetMode="External" Id="rId9" /><Relationship Type="http://schemas.openxmlformats.org/officeDocument/2006/relationships/header" Target="header3.xml" Id="rId14" /><Relationship Type="http://schemas.openxmlformats.org/officeDocument/2006/relationships/customXml" Target="/customXml/item2.xml" Id="R25e69add50db4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A205927</value>
    </field>
    <field name="Objective-Title">
      <value order="0">AT3 - Folio - Task 2</value>
    </field>
    <field name="Objective-Description">
      <value order="0"/>
    </field>
    <field name="Objective-CreationStamp">
      <value order="0">2012-08-13T11:12:24Z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2024-11-14T06:05:30Z</value>
    </field>
    <field name="Objective-ModificationStamp">
      <value order="0">2024-11-14T06:05:30Z</value>
    </field>
    <field name="Objective-Owner">
      <value order="0">Robyn Pillans</value>
    </field>
    <field name="Objective-Path">
      <value order="0">Objective Global Folder:SACE Support Materials:SACE Support Materials Stage 2:Humanities and Social Sciences:Women's Studies:Tasks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vA2180994</value>
    </field>
    <field name="Objective-Version">
      <value order="0">1.0</value>
    </field>
    <field name="Objective-VersionNumber">
      <value order="0">6</value>
    </field>
    <field name="Objective-VersionComment">
      <value order="0">Subject adjustments 2025</value>
    </field>
    <field name="Objective-FileNumber">
      <value order="0">qA6177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Mayes,Andrew(SACE)</cp:lastModifiedBy>
  <cp:revision>5</cp:revision>
  <cp:lastPrinted>2012-08-13T01:17:00Z</cp:lastPrinted>
  <dcterms:created xsi:type="dcterms:W3CDTF">2012-08-13T01:42:00Z</dcterms:created>
  <dcterms:modified xsi:type="dcterms:W3CDTF">2024-11-14T06:05:00Z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5a10e39f,58607ca4,436b7001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701fafdb,4d633c57,51fa0f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A205927</vt:lpwstr>
  </op:property>
  <op:property fmtid="{D5CDD505-2E9C-101B-9397-08002B2CF9AE}" pid="12" name="Objective-Title">
    <vt:lpwstr>AT3 - Folio - Task 2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2012-08-13T11:12:24Z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2024-11-14T06:05:30Z</vt:filetime>
  </op:property>
  <op:property fmtid="{D5CDD505-2E9C-101B-9397-08002B2CF9AE}" pid="18" name="Objective-ModificationStamp">
    <vt:filetime>2024-11-14T06:05:30Z</vt:filetime>
  </op:property>
  <op:property fmtid="{D5CDD505-2E9C-101B-9397-08002B2CF9AE}" pid="19" name="Objective-Owner">
    <vt:lpwstr>Robyn Pillans</vt:lpwstr>
  </op:property>
  <op:property fmtid="{D5CDD505-2E9C-101B-9397-08002B2CF9AE}" pid="20" name="Objective-Path">
    <vt:lpwstr>Objective Global Folder:SACE Support Materials:SACE Support Materials Stage 2:Humanities and Social Sciences:Women's Studies:Tasks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vA2180994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6</vt:r8>
  </op:property>
  <op:property fmtid="{D5CDD505-2E9C-101B-9397-08002B2CF9AE}" pid="26" name="Objective-VersionComment">
    <vt:lpwstr>Subject adjustments 2025</vt:lpwstr>
  </op:property>
  <op:property fmtid="{D5CDD505-2E9C-101B-9397-08002B2CF9AE}" pid="27" name="Objective-FileNumber">
    <vt:lpwstr>qA6177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