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CB3D43" w:rsidP="006760D7">
      <w:pPr>
        <w:tabs>
          <w:tab w:val="left" w:pos="7321"/>
          <w:tab w:val="left" w:pos="9540"/>
        </w:tabs>
        <w:jc w:val="right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Articulates with Program 3</w:t>
      </w:r>
    </w:p>
    <w:p w:rsidR="006760D7" w:rsidRPr="006760D7" w:rsidRDefault="006760D7" w:rsidP="006760D7">
      <w:pPr>
        <w:tabs>
          <w:tab w:val="left" w:pos="7321"/>
          <w:tab w:val="left" w:pos="9540"/>
        </w:tabs>
        <w:jc w:val="right"/>
        <w:rPr>
          <w:rFonts w:ascii="Helvetica" w:hAnsi="Helvetica"/>
          <w:lang w:val="en-US"/>
        </w:rPr>
      </w:pPr>
    </w:p>
    <w:p w:rsidR="00F66744" w:rsidRPr="00F66744" w:rsidRDefault="009A287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>
        <w:rPr>
          <w:rFonts w:ascii="Helv" w:hAnsi="Helv"/>
          <w:caps/>
          <w:sz w:val="32"/>
          <w:szCs w:val="32"/>
          <w:lang w:val="en-US"/>
        </w:rPr>
        <w:t xml:space="preserve">PRE-APPROVED </w:t>
      </w:r>
      <w:bookmarkStart w:id="0" w:name="_GoBack"/>
      <w:bookmarkEnd w:id="0"/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204015" w:rsidP="0030649E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2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1C4BBD">
        <w:rPr>
          <w:rFonts w:cs="Arial"/>
          <w:b/>
          <w:bCs/>
          <w:sz w:val="28"/>
          <w:szCs w:val="28"/>
        </w:rPr>
        <w:t>Biology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204015" w:rsidP="00BA21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74414B" w:rsidP="00BA218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74414B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74414B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204015" w:rsidP="00BA21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2B3D">
              <w:rPr>
                <w:b/>
              </w:rPr>
              <w:t>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0649E">
      <w:pPr>
        <w:pStyle w:val="LAPHeading"/>
      </w:pPr>
      <w:r w:rsidRPr="004963F3">
        <w:lastRenderedPageBreak/>
        <w:t xml:space="preserve">Stage </w:t>
      </w:r>
      <w:r w:rsidR="00204015">
        <w:t>2</w:t>
      </w:r>
      <w:r>
        <w:t xml:space="preserve"> </w:t>
      </w:r>
      <w:r w:rsidR="001C4BBD">
        <w:t>Biology</w:t>
      </w:r>
      <w:r w:rsidR="00204015">
        <w:t xml:space="preserve"> (2</w:t>
      </w:r>
      <w:r>
        <w:t>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992"/>
        <w:gridCol w:w="1134"/>
        <w:gridCol w:w="4111"/>
      </w:tblGrid>
      <w:tr w:rsidR="002A53B7" w:rsidRPr="004963F3" w:rsidTr="005273B3">
        <w:trPr>
          <w:trHeight w:val="345"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EB4B24" w:rsidRPr="004963F3" w:rsidTr="005273B3">
        <w:trPr>
          <w:trHeight w:val="345"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B24" w:rsidRPr="004963F3" w:rsidRDefault="00EB4B24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24" w:rsidRPr="004963F3" w:rsidRDefault="00EB4B24" w:rsidP="00EB4B2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4B24" w:rsidRPr="004963F3" w:rsidRDefault="00EB4B24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E3B7F" w:rsidRPr="004963F3" w:rsidTr="005273B3">
        <w:trPr>
          <w:trHeight w:val="8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E3B7F" w:rsidRPr="005273B3" w:rsidRDefault="003E3B7F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5273B3">
              <w:rPr>
                <w:b/>
                <w:sz w:val="20"/>
                <w:szCs w:val="20"/>
                <w:lang w:val="en-US"/>
              </w:rPr>
              <w:t>Assessment Type 1: Investigations Folio</w:t>
            </w:r>
          </w:p>
          <w:p w:rsidR="003E3B7F" w:rsidRPr="005273B3" w:rsidRDefault="003E3B7F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E3B7F" w:rsidRPr="005273B3" w:rsidRDefault="003E3B7F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E3B7F" w:rsidRPr="005273B3" w:rsidRDefault="003E3B7F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5273B3">
              <w:rPr>
                <w:b/>
                <w:sz w:val="20"/>
                <w:szCs w:val="20"/>
                <w:lang w:val="en-US"/>
              </w:rPr>
              <w:t>Weighting 30%</w:t>
            </w:r>
          </w:p>
        </w:tc>
        <w:tc>
          <w:tcPr>
            <w:tcW w:w="7654" w:type="dxa"/>
            <w:shd w:val="clear" w:color="auto" w:fill="auto"/>
          </w:tcPr>
          <w:p w:rsidR="003E3B7F" w:rsidRPr="005273B3" w:rsidRDefault="003E3B7F" w:rsidP="003E3B7F">
            <w:pPr>
              <w:pStyle w:val="ACLAPTableText"/>
            </w:pPr>
          </w:p>
          <w:p w:rsidR="009A722D" w:rsidRPr="005273B3" w:rsidRDefault="00B55467" w:rsidP="009A722D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5273B3">
              <w:rPr>
                <w:rFonts w:ascii="Arial" w:hAnsi="Arial" w:cs="Arial"/>
                <w:sz w:val="20"/>
                <w:szCs w:val="20"/>
              </w:rPr>
              <w:t>S</w:t>
            </w:r>
            <w:r w:rsidR="003E3B7F" w:rsidRPr="005273B3">
              <w:rPr>
                <w:rFonts w:ascii="Arial" w:hAnsi="Arial" w:cs="Arial"/>
                <w:sz w:val="20"/>
                <w:szCs w:val="20"/>
              </w:rPr>
              <w:t xml:space="preserve">tudents design and implement a practical investigation </w:t>
            </w:r>
            <w:r w:rsidRPr="005273B3">
              <w:rPr>
                <w:rFonts w:ascii="Arial" w:hAnsi="Arial" w:cs="Arial"/>
                <w:sz w:val="20"/>
                <w:szCs w:val="20"/>
              </w:rPr>
              <w:t>related to</w:t>
            </w:r>
            <w:r w:rsidR="00566B80" w:rsidRPr="00527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B80" w:rsidRPr="005273B3">
              <w:rPr>
                <w:rFonts w:ascii="Arial" w:hAnsi="Arial" w:cs="Arial"/>
                <w:b/>
                <w:sz w:val="20"/>
                <w:szCs w:val="20"/>
              </w:rPr>
              <w:t>Topic 2: Cells as the Basis of Life</w:t>
            </w:r>
            <w:r w:rsidR="00566B80" w:rsidRPr="005273B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3B7F" w:rsidRPr="005273B3">
              <w:rPr>
                <w:rFonts w:ascii="Arial" w:hAnsi="Arial" w:cs="Arial"/>
                <w:sz w:val="20"/>
                <w:szCs w:val="20"/>
              </w:rPr>
              <w:t>Students use their knowledge to design a method</w:t>
            </w:r>
            <w:r w:rsidR="004446D2">
              <w:rPr>
                <w:rFonts w:ascii="Arial" w:hAnsi="Arial" w:cs="Arial"/>
                <w:sz w:val="20"/>
                <w:szCs w:val="20"/>
              </w:rPr>
              <w:t>, for which the outcome is uncertain</w:t>
            </w:r>
            <w:r w:rsidR="003E3B7F" w:rsidRPr="005273B3">
              <w:rPr>
                <w:rFonts w:ascii="Arial" w:hAnsi="Arial" w:cs="Arial"/>
                <w:sz w:val="20"/>
                <w:szCs w:val="20"/>
              </w:rPr>
              <w:t xml:space="preserve"> to investigate the effects </w:t>
            </w:r>
            <w:r w:rsidR="00566B80" w:rsidRPr="005273B3">
              <w:rPr>
                <w:rFonts w:ascii="Arial" w:hAnsi="Arial" w:cs="Arial"/>
                <w:sz w:val="20"/>
                <w:szCs w:val="20"/>
              </w:rPr>
              <w:t>o</w:t>
            </w:r>
            <w:r w:rsidR="00400114">
              <w:rPr>
                <w:rFonts w:ascii="Arial" w:hAnsi="Arial" w:cs="Arial"/>
                <w:sz w:val="20"/>
                <w:szCs w:val="20"/>
              </w:rPr>
              <w:t xml:space="preserve">f a factor on </w:t>
            </w:r>
            <w:r w:rsidR="004446D2">
              <w:rPr>
                <w:rFonts w:ascii="Arial" w:hAnsi="Arial" w:cs="Arial"/>
                <w:sz w:val="20"/>
                <w:szCs w:val="20"/>
              </w:rPr>
              <w:t>respiration.</w:t>
            </w:r>
            <w:r w:rsidR="00566B80" w:rsidRPr="005273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F" w:rsidRPr="005273B3" w:rsidRDefault="003E3B7F" w:rsidP="00B55467">
            <w:pPr>
              <w:pStyle w:val="NormalWeb"/>
              <w:pBdr>
                <w:right w:val="single" w:sz="4" w:space="4" w:color="auto"/>
              </w:pBd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5273B3">
              <w:rPr>
                <w:rFonts w:ascii="Arial" w:hAnsi="Arial" w:cs="Arial"/>
                <w:sz w:val="20"/>
                <w:szCs w:val="20"/>
              </w:rPr>
              <w:t>Students individually design an investigation with an appropriate method, hypothesis and variables. They record and present data using appropriate terms and conventions. Students evaluate procedures and</w:t>
            </w:r>
            <w:r w:rsidR="00B55467" w:rsidRPr="005273B3">
              <w:rPr>
                <w:rFonts w:ascii="Arial" w:hAnsi="Arial" w:cs="Arial"/>
                <w:sz w:val="20"/>
                <w:szCs w:val="20"/>
              </w:rPr>
              <w:t xml:space="preserve"> discuss</w:t>
            </w:r>
            <w:r w:rsidRPr="005273B3">
              <w:rPr>
                <w:rFonts w:ascii="Arial" w:hAnsi="Arial" w:cs="Arial"/>
                <w:sz w:val="20"/>
                <w:szCs w:val="20"/>
              </w:rPr>
              <w:t xml:space="preserve"> their effects on the data collected. Correct use of biological terminology </w:t>
            </w:r>
            <w:r w:rsidR="00B55467" w:rsidRPr="005273B3">
              <w:rPr>
                <w:rFonts w:ascii="Arial" w:hAnsi="Arial" w:cs="Arial"/>
                <w:sz w:val="20"/>
                <w:szCs w:val="20"/>
              </w:rPr>
              <w:t>is</w:t>
            </w:r>
            <w:r w:rsidRPr="005273B3">
              <w:rPr>
                <w:rFonts w:ascii="Arial" w:hAnsi="Arial" w:cs="Arial"/>
                <w:sz w:val="20"/>
                <w:szCs w:val="20"/>
              </w:rPr>
              <w:t xml:space="preserve"> assessed.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B7F" w:rsidRPr="005273B3" w:rsidRDefault="003E3B7F" w:rsidP="003E3B7F">
            <w:pPr>
              <w:pStyle w:val="ACLAPTableText"/>
              <w:rPr>
                <w:lang w:val="en-US"/>
              </w:rPr>
            </w:pPr>
            <w:r w:rsidRPr="005273B3">
              <w:rPr>
                <w:lang w:val="en-US"/>
              </w:rPr>
              <w:t>1, 2,3,4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B7F" w:rsidRPr="005273B3" w:rsidRDefault="003E3B7F" w:rsidP="003E3B7F">
            <w:pPr>
              <w:pStyle w:val="ACLAPTableText"/>
              <w:rPr>
                <w:lang w:val="en-US"/>
              </w:rPr>
            </w:pPr>
            <w:r w:rsidRPr="005273B3">
              <w:rPr>
                <w:lang w:val="en-US"/>
              </w:rPr>
              <w:t>1, 4</w:t>
            </w:r>
          </w:p>
        </w:tc>
        <w:tc>
          <w:tcPr>
            <w:tcW w:w="4111" w:type="dxa"/>
            <w:shd w:val="clear" w:color="auto" w:fill="auto"/>
          </w:tcPr>
          <w:p w:rsidR="003E3B7F" w:rsidRPr="005273B3" w:rsidRDefault="003E3B7F" w:rsidP="003E3B7F">
            <w:pPr>
              <w:pStyle w:val="ACLAPTableText"/>
            </w:pPr>
            <w:r w:rsidRPr="005273B3">
              <w:t xml:space="preserve">Class time will be given for students to individually design the investigation question/hypothesis. 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 xml:space="preserve">A double lesson to undertake the practical in an allocated group of students. </w:t>
            </w:r>
          </w:p>
          <w:p w:rsidR="003E3B7F" w:rsidRPr="005273B3" w:rsidRDefault="00D37359" w:rsidP="003E3B7F">
            <w:pPr>
              <w:pStyle w:val="ACLAPTableText"/>
            </w:pPr>
            <w:r w:rsidRPr="005273B3">
              <w:t xml:space="preserve">Each student </w:t>
            </w:r>
            <w:r w:rsidR="003E3B7F" w:rsidRPr="005273B3">
              <w:t>submit</w:t>
            </w:r>
            <w:r w:rsidRPr="005273B3">
              <w:t>s</w:t>
            </w:r>
            <w:r w:rsidR="003E3B7F" w:rsidRPr="005273B3">
              <w:t xml:space="preserve"> a practical report according to the guidelines in the subject outline. 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>Students may submit one draft for feedback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>Word Count: maximum of 1500 words or 10 minutes for an oral presentation for the introduction, analysis, evaluation and conclusion sections of the report.</w:t>
            </w:r>
          </w:p>
        </w:tc>
      </w:tr>
      <w:tr w:rsidR="003E3B7F" w:rsidRPr="004963F3" w:rsidTr="005273B3">
        <w:trPr>
          <w:trHeight w:val="838"/>
        </w:trPr>
        <w:tc>
          <w:tcPr>
            <w:tcW w:w="1668" w:type="dxa"/>
            <w:vMerge/>
            <w:shd w:val="clear" w:color="auto" w:fill="auto"/>
            <w:vAlign w:val="center"/>
          </w:tcPr>
          <w:p w:rsidR="003E3B7F" w:rsidRPr="005273B3" w:rsidRDefault="003E3B7F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3E3B7F" w:rsidRPr="005273B3" w:rsidRDefault="00B55467" w:rsidP="003E3B7F">
            <w:pPr>
              <w:pStyle w:val="ACLAPTableText"/>
            </w:pPr>
            <w:r w:rsidRPr="005273B3">
              <w:t>S</w:t>
            </w:r>
            <w:r w:rsidR="003E3B7F" w:rsidRPr="005273B3">
              <w:t xml:space="preserve">tudents </w:t>
            </w:r>
            <w:r w:rsidR="00360DBC">
              <w:t xml:space="preserve">deconstruct a problem, </w:t>
            </w:r>
            <w:r w:rsidR="006639CE" w:rsidRPr="005273B3">
              <w:t>design</w:t>
            </w:r>
            <w:r w:rsidR="00360DBC">
              <w:t xml:space="preserve"> a method</w:t>
            </w:r>
            <w:r w:rsidR="006639CE" w:rsidRPr="005273B3">
              <w:t xml:space="preserve"> and </w:t>
            </w:r>
            <w:r w:rsidR="00CA14F6">
              <w:t xml:space="preserve">implement </w:t>
            </w:r>
            <w:r w:rsidR="003E3B7F" w:rsidRPr="005273B3">
              <w:t>a practical investigation</w:t>
            </w:r>
            <w:r w:rsidRPr="005273B3">
              <w:t xml:space="preserve"> related to</w:t>
            </w:r>
            <w:r w:rsidR="003E3B7F" w:rsidRPr="005273B3">
              <w:t xml:space="preserve"> </w:t>
            </w:r>
            <w:r w:rsidR="003E3B7F" w:rsidRPr="005273B3">
              <w:rPr>
                <w:b/>
                <w:lang w:val="en-US"/>
              </w:rPr>
              <w:t>Topic 4: Evolution</w:t>
            </w:r>
            <w:r w:rsidR="003E3B7F" w:rsidRPr="005273B3">
              <w:t xml:space="preserve">. </w:t>
            </w:r>
            <w:r w:rsidRPr="005273B3">
              <w:t>They</w:t>
            </w:r>
            <w:r w:rsidR="003E3B7F" w:rsidRPr="005273B3">
              <w:t xml:space="preserve"> simulate the concept of </w:t>
            </w:r>
            <w:r w:rsidRPr="005273B3">
              <w:t>N</w:t>
            </w:r>
            <w:r w:rsidR="003E3B7F" w:rsidRPr="005273B3">
              <w:t xml:space="preserve">atural Selection. Students investigate predation and natural selection using a model. </w:t>
            </w:r>
            <w:r w:rsidRPr="005273B3">
              <w:t>They</w:t>
            </w:r>
            <w:r w:rsidR="003E3B7F" w:rsidRPr="005273B3">
              <w:t xml:space="preserve"> will </w:t>
            </w:r>
            <w:r w:rsidR="009A722D" w:rsidRPr="005273B3">
              <w:t>develop</w:t>
            </w:r>
            <w:r w:rsidR="003E3B7F" w:rsidRPr="005273B3">
              <w:t xml:space="preserve"> a method</w:t>
            </w:r>
            <w:r w:rsidR="00360DBC">
              <w:t>, by testing and considering a range of questions,</w:t>
            </w:r>
            <w:r w:rsidR="003E3B7F" w:rsidRPr="005273B3">
              <w:t xml:space="preserve"> that </w:t>
            </w:r>
            <w:r w:rsidR="00360DBC">
              <w:t xml:space="preserve">is </w:t>
            </w:r>
            <w:r w:rsidRPr="005273B3">
              <w:t xml:space="preserve">based on one that </w:t>
            </w:r>
            <w:r w:rsidR="003E3B7F" w:rsidRPr="005273B3">
              <w:t>has been provided</w:t>
            </w:r>
            <w:r w:rsidRPr="005273B3">
              <w:t xml:space="preserve">. </w:t>
            </w:r>
            <w:r w:rsidR="003E3B7F" w:rsidRPr="005273B3">
              <w:t xml:space="preserve"> </w:t>
            </w:r>
            <w:r w:rsidRPr="005273B3">
              <w:t xml:space="preserve">They identify an appropriate hypothesis and variables and complete the practical, </w:t>
            </w:r>
            <w:r w:rsidR="003E3B7F" w:rsidRPr="005273B3">
              <w:t>record</w:t>
            </w:r>
            <w:r w:rsidRPr="005273B3">
              <w:t>ing</w:t>
            </w:r>
            <w:r w:rsidR="003E3B7F" w:rsidRPr="005273B3">
              <w:t xml:space="preserve"> and present</w:t>
            </w:r>
            <w:r w:rsidRPr="005273B3">
              <w:t>ing</w:t>
            </w:r>
            <w:r w:rsidR="003E3B7F" w:rsidRPr="005273B3">
              <w:t xml:space="preserve"> data using appropriate terms and conventions. Students evaluate procedures and </w:t>
            </w:r>
            <w:r w:rsidRPr="005273B3">
              <w:t xml:space="preserve">discuss </w:t>
            </w:r>
            <w:r w:rsidR="003E3B7F" w:rsidRPr="005273B3">
              <w:t xml:space="preserve">their effects on the data collected. </w:t>
            </w:r>
            <w:r w:rsidR="009A722D" w:rsidRPr="005273B3">
              <w:t xml:space="preserve">They justify their conclusions. </w:t>
            </w:r>
            <w:r w:rsidR="003E3B7F" w:rsidRPr="005273B3">
              <w:t xml:space="preserve">Correct use of biological terminology </w:t>
            </w:r>
            <w:r w:rsidRPr="005273B3">
              <w:t>is</w:t>
            </w:r>
            <w:r w:rsidR="003E3B7F" w:rsidRPr="005273B3">
              <w:t xml:space="preserve"> assessed.</w:t>
            </w:r>
          </w:p>
          <w:p w:rsidR="003E3B7F" w:rsidRPr="005273B3" w:rsidRDefault="003E3B7F" w:rsidP="003E3B7F">
            <w:pPr>
              <w:pStyle w:val="ACLAP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3B7F" w:rsidRPr="005273B3" w:rsidRDefault="006639CE" w:rsidP="003E3B7F">
            <w:pPr>
              <w:pStyle w:val="ACLAPTableText"/>
              <w:rPr>
                <w:lang w:val="en-US"/>
              </w:rPr>
            </w:pPr>
            <w:r w:rsidRPr="005273B3">
              <w:rPr>
                <w:lang w:val="en-US"/>
              </w:rPr>
              <w:t xml:space="preserve">1, </w:t>
            </w:r>
            <w:r w:rsidR="003E3B7F" w:rsidRPr="005273B3">
              <w:rPr>
                <w:lang w:val="en-US"/>
              </w:rPr>
              <w:t>2,3,4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B7F" w:rsidRPr="005273B3" w:rsidRDefault="006639CE" w:rsidP="003E3B7F">
            <w:pPr>
              <w:pStyle w:val="ACLAPTableText"/>
              <w:rPr>
                <w:lang w:val="en-US"/>
              </w:rPr>
            </w:pPr>
            <w:r w:rsidRPr="005273B3">
              <w:rPr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A722D" w:rsidRPr="005273B3" w:rsidRDefault="009A722D" w:rsidP="009A722D">
            <w:pPr>
              <w:pStyle w:val="ACLAPTableText"/>
            </w:pPr>
            <w:r w:rsidRPr="005273B3">
              <w:t xml:space="preserve">Class time will be given for students to individually design the investigation question/hypothesis. 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>A double lesson to undertake the practical in an allocated group of students</w:t>
            </w:r>
          </w:p>
          <w:p w:rsidR="003E3B7F" w:rsidRPr="005273B3" w:rsidRDefault="00D37359" w:rsidP="003E3B7F">
            <w:pPr>
              <w:pStyle w:val="ACLAPTableText"/>
            </w:pPr>
            <w:r w:rsidRPr="005273B3">
              <w:t xml:space="preserve">Each student </w:t>
            </w:r>
            <w:r w:rsidR="003E3B7F" w:rsidRPr="005273B3">
              <w:t>submit</w:t>
            </w:r>
            <w:r w:rsidRPr="005273B3">
              <w:t>s</w:t>
            </w:r>
            <w:r w:rsidR="003E3B7F" w:rsidRPr="005273B3">
              <w:t xml:space="preserve"> a practical report according to the guidelines in the subject outline. 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>Students may submit one draft for feedback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>Word Count: maximum of 1500 words or 10 minutes for an oral presentation for the introduction, analysis, evaluation and conclusion sections of the report.</w:t>
            </w:r>
          </w:p>
        </w:tc>
      </w:tr>
      <w:tr w:rsidR="003E3B7F" w:rsidRPr="004963F3" w:rsidTr="005273B3">
        <w:trPr>
          <w:trHeight w:val="837"/>
        </w:trPr>
        <w:tc>
          <w:tcPr>
            <w:tcW w:w="1668" w:type="dxa"/>
            <w:vMerge/>
            <w:shd w:val="clear" w:color="auto" w:fill="auto"/>
            <w:vAlign w:val="center"/>
          </w:tcPr>
          <w:p w:rsidR="003E3B7F" w:rsidRPr="005273B3" w:rsidRDefault="003E3B7F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3E3B7F" w:rsidRPr="005273B3" w:rsidRDefault="008D5134" w:rsidP="008D5134">
            <w:pPr>
              <w:pStyle w:val="ACLAPTableText"/>
            </w:pPr>
            <w:r>
              <w:t>S</w:t>
            </w:r>
            <w:r w:rsidR="003E3B7F" w:rsidRPr="005273B3">
              <w:t>tudent</w:t>
            </w:r>
            <w:r>
              <w:t>s</w:t>
            </w:r>
            <w:r w:rsidR="003E3B7F" w:rsidRPr="005273B3">
              <w:t xml:space="preserve"> </w:t>
            </w:r>
            <w:r>
              <w:t xml:space="preserve">explore the interaction between science and society related to a contemporary </w:t>
            </w:r>
            <w:r w:rsidR="003E3B7F" w:rsidRPr="005273B3">
              <w:t xml:space="preserve">aspect of </w:t>
            </w:r>
            <w:r>
              <w:t xml:space="preserve">Stage 2 </w:t>
            </w:r>
            <w:r w:rsidR="003E3B7F" w:rsidRPr="005273B3">
              <w:t xml:space="preserve">Biology. </w:t>
            </w:r>
            <w:r>
              <w:t>Based on</w:t>
            </w:r>
            <w:r w:rsidR="00B55467" w:rsidRPr="005273B3">
              <w:t xml:space="preserve"> at least one </w:t>
            </w:r>
            <w:r>
              <w:t>key concept of</w:t>
            </w:r>
            <w:r w:rsidR="00B55467" w:rsidRPr="005273B3">
              <w:t xml:space="preserve"> Science </w:t>
            </w:r>
            <w:r w:rsidR="00CA14F6" w:rsidRPr="005273B3">
              <w:t xml:space="preserve">as a Human Endeavour </w:t>
            </w:r>
            <w:r w:rsidR="00B55467" w:rsidRPr="005273B3">
              <w:t>described on page 45 and 46 of t</w:t>
            </w:r>
            <w:r>
              <w:t>he subject outline s</w:t>
            </w:r>
            <w:r w:rsidR="003E3B7F" w:rsidRPr="005273B3">
              <w:t xml:space="preserve">tudents </w:t>
            </w:r>
            <w:r w:rsidR="00B55467" w:rsidRPr="005273B3">
              <w:t xml:space="preserve">choose a focus, </w:t>
            </w:r>
            <w:r w:rsidR="003E3B7F" w:rsidRPr="005273B3">
              <w:t xml:space="preserve">access information from different sources, select and acknowledge appropriate sources to support their own conclusions.  They logically </w:t>
            </w:r>
            <w:r w:rsidR="003E3B7F" w:rsidRPr="005273B3">
              <w:lastRenderedPageBreak/>
              <w:t>link their knowledge of Biolog</w:t>
            </w:r>
            <w:r>
              <w:t xml:space="preserve">y to the aspect chosen, undertake </w:t>
            </w:r>
            <w:r w:rsidR="003E3B7F" w:rsidRPr="005273B3">
              <w:t>detailed and deep research to analysis</w:t>
            </w:r>
            <w:r>
              <w:t>,</w:t>
            </w:r>
            <w:r w:rsidR="003E3B7F" w:rsidRPr="005273B3">
              <w:t xml:space="preserve"> and evaluate the aspect of Biology chosen for the task. Students </w:t>
            </w:r>
            <w:r w:rsidR="00B55467" w:rsidRPr="005273B3">
              <w:t xml:space="preserve">may choose the format of their </w:t>
            </w:r>
            <w:r>
              <w:t>report</w:t>
            </w:r>
            <w:r w:rsidR="003E3B7F" w:rsidRPr="005273B3">
              <w:t>: either an article for a scientific journal, a written report providing an expert’s point of view, an analysis of a new development in a f</w:t>
            </w:r>
            <w:r w:rsidR="007260AC" w:rsidRPr="005273B3">
              <w:t>ield or a concern about a change</w:t>
            </w:r>
            <w:r w:rsidR="003E3B7F" w:rsidRPr="005273B3">
              <w:t xml:space="preserve"> which has economic, social, environmental or political implications.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B7F" w:rsidRPr="005273B3" w:rsidRDefault="0027593B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2, </w:t>
            </w:r>
            <w:r w:rsidR="003E3B7F" w:rsidRPr="005273B3"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B7F" w:rsidRPr="005273B3" w:rsidRDefault="0027593B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3E3B7F" w:rsidRPr="005273B3">
              <w:rPr>
                <w:lang w:val="en-US"/>
              </w:rPr>
              <w:t>3,4</w:t>
            </w:r>
          </w:p>
        </w:tc>
        <w:tc>
          <w:tcPr>
            <w:tcW w:w="4111" w:type="dxa"/>
            <w:shd w:val="clear" w:color="auto" w:fill="auto"/>
          </w:tcPr>
          <w:p w:rsidR="003E3B7F" w:rsidRPr="005273B3" w:rsidRDefault="003E3B7F" w:rsidP="003E3B7F">
            <w:pPr>
              <w:pStyle w:val="ACLAPTableText"/>
            </w:pPr>
            <w:r w:rsidRPr="005273B3">
              <w:t>4 weeks to complete. Class time provided for research and to support students.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 xml:space="preserve">Students will submit a </w:t>
            </w:r>
            <w:r w:rsidR="006A1970" w:rsidRPr="005273B3">
              <w:t>focus</w:t>
            </w:r>
            <w:r w:rsidRPr="005273B3">
              <w:t xml:space="preserve"> and plan for review by the teacher. Verification of work will occur as the student undertakes </w:t>
            </w:r>
            <w:r w:rsidRPr="005273B3">
              <w:lastRenderedPageBreak/>
              <w:t>research and planning.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>Students may submit one draft for feedback</w:t>
            </w:r>
          </w:p>
          <w:p w:rsidR="003E3B7F" w:rsidRPr="005273B3" w:rsidRDefault="003E3B7F" w:rsidP="003E3B7F">
            <w:pPr>
              <w:pStyle w:val="ACLAPTableText"/>
            </w:pPr>
            <w:r w:rsidRPr="005273B3">
              <w:t>Word Count: maximum of 1500 words or 10 minutes for an oral presentation.</w:t>
            </w:r>
          </w:p>
        </w:tc>
      </w:tr>
      <w:tr w:rsidR="006334F9" w:rsidRPr="004963F3" w:rsidTr="006334F9">
        <w:trPr>
          <w:trHeight w:val="82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34F9" w:rsidRPr="005273B3" w:rsidRDefault="006334F9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5273B3">
              <w:rPr>
                <w:b/>
                <w:sz w:val="20"/>
                <w:szCs w:val="20"/>
                <w:lang w:val="en-US"/>
              </w:rPr>
              <w:lastRenderedPageBreak/>
              <w:t>Assessment Type 2: Skills and Applications Tasks</w:t>
            </w:r>
          </w:p>
          <w:p w:rsidR="006334F9" w:rsidRPr="005273B3" w:rsidRDefault="006334F9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34F9" w:rsidRPr="005273B3" w:rsidRDefault="006334F9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34F9" w:rsidRPr="005273B3" w:rsidRDefault="006334F9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5273B3">
              <w:rPr>
                <w:b/>
                <w:sz w:val="20"/>
                <w:szCs w:val="20"/>
                <w:lang w:val="en-US"/>
              </w:rPr>
              <w:t>Weighting</w:t>
            </w:r>
          </w:p>
          <w:p w:rsidR="006334F9" w:rsidRPr="005273B3" w:rsidRDefault="006334F9" w:rsidP="003E3B7F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5273B3">
              <w:rPr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34F9" w:rsidRPr="005273B3" w:rsidRDefault="006334F9" w:rsidP="004446D2">
            <w:pPr>
              <w:pStyle w:val="ACLAPTableText"/>
              <w:rPr>
                <w:lang w:val="en-US"/>
              </w:rPr>
            </w:pPr>
            <w:r w:rsidRPr="005273B3">
              <w:rPr>
                <w:lang w:val="en-US"/>
              </w:rPr>
              <w:t xml:space="preserve">Students demonstrate Biological knowledge and skills from </w:t>
            </w:r>
            <w:r w:rsidRPr="005273B3">
              <w:rPr>
                <w:b/>
                <w:lang w:val="en-US"/>
              </w:rPr>
              <w:t>Topic 1: DNA and Proteins</w:t>
            </w:r>
            <w:r w:rsidR="004446D2">
              <w:rPr>
                <w:b/>
                <w:lang w:val="en-US"/>
              </w:rPr>
              <w:t xml:space="preserve">, </w:t>
            </w:r>
            <w:r w:rsidRPr="005273B3">
              <w:rPr>
                <w:b/>
                <w:lang w:val="en-US"/>
              </w:rPr>
              <w:t>Topic 2: Cells as the Basis of Life</w:t>
            </w:r>
            <w:r w:rsidR="004446D2">
              <w:rPr>
                <w:b/>
                <w:lang w:val="en-US"/>
              </w:rPr>
              <w:t xml:space="preserve"> and Topic 4: Evolution</w:t>
            </w:r>
            <w:r w:rsidRPr="005273B3">
              <w:rPr>
                <w:lang w:val="en-US"/>
              </w:rPr>
              <w:t>. The content of the task covers key concepts from any aspect of the topic taught. Students apply their knowledge and skills to a range of questions in both new and familiar contexts. They solve problems, and interpret data or diagrams. An extended response question is included. Correct use of biological terminology is assessed.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Pr="005273B3" w:rsidRDefault="006334F9" w:rsidP="003E3B7F">
            <w:pPr>
              <w:pStyle w:val="ACLAPTableTex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Pr="005273B3" w:rsidRDefault="006334F9" w:rsidP="003E3B7F">
            <w:pPr>
              <w:pStyle w:val="ACLAPTableText"/>
              <w:rPr>
                <w:lang w:val="en-US"/>
              </w:rPr>
            </w:pPr>
            <w:r w:rsidRPr="005273B3">
              <w:rPr>
                <w:lang w:val="en-US"/>
              </w:rPr>
              <w:t>1,2,4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34F9" w:rsidRPr="005273B3" w:rsidRDefault="006334F9" w:rsidP="003E3B7F">
            <w:pPr>
              <w:pStyle w:val="ACLAPTableText"/>
            </w:pPr>
            <w:r w:rsidRPr="005273B3">
              <w:t>Supervised written assessment.</w:t>
            </w:r>
          </w:p>
          <w:p w:rsidR="006334F9" w:rsidRPr="005273B3" w:rsidRDefault="006334F9" w:rsidP="003E3B7F">
            <w:pPr>
              <w:pStyle w:val="ACLAPTableText"/>
            </w:pPr>
            <w:r w:rsidRPr="005273B3">
              <w:t>Total Time:  90 minutes + 5 minutes reading time.</w:t>
            </w:r>
          </w:p>
        </w:tc>
      </w:tr>
      <w:tr w:rsidR="006334F9" w:rsidRPr="004963F3" w:rsidTr="006334F9">
        <w:trPr>
          <w:trHeight w:val="812"/>
        </w:trPr>
        <w:tc>
          <w:tcPr>
            <w:tcW w:w="1668" w:type="dxa"/>
            <w:vMerge/>
            <w:shd w:val="clear" w:color="auto" w:fill="auto"/>
            <w:vAlign w:val="center"/>
          </w:tcPr>
          <w:p w:rsidR="006334F9" w:rsidRDefault="006334F9" w:rsidP="003E3B7F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34F9" w:rsidRPr="004963F3" w:rsidRDefault="006334F9" w:rsidP="004446D2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Students demonstrate Biological knowledge and skills from </w:t>
            </w:r>
            <w:r w:rsidR="004446D2" w:rsidRPr="005273B3">
              <w:rPr>
                <w:b/>
                <w:lang w:val="en-US"/>
              </w:rPr>
              <w:t>1: DNA and Proteins</w:t>
            </w:r>
            <w:r w:rsidR="004446D2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Topic 2: Cells as the Basis of Life</w:t>
            </w:r>
            <w:r w:rsidR="004446D2">
              <w:rPr>
                <w:b/>
                <w:lang w:val="en-US"/>
              </w:rPr>
              <w:t xml:space="preserve"> and Topic 3: Homeostasis</w:t>
            </w:r>
            <w:r>
              <w:rPr>
                <w:lang w:val="en-US"/>
              </w:rPr>
              <w:t xml:space="preserve">. The content of the task covers key concepts from any aspect of the topic. Students apply their knowledge and skills to a range of questions in both new and familiar contexts. They apply their knowledge, solve problems, and interpret data or diagrams. </w:t>
            </w:r>
            <w:r w:rsidR="004446D2">
              <w:rPr>
                <w:lang w:val="en-US"/>
              </w:rPr>
              <w:t>There will be a focus on</w:t>
            </w:r>
            <w:r>
              <w:rPr>
                <w:lang w:val="en-US"/>
              </w:rPr>
              <w:t xml:space="preserve"> questions </w:t>
            </w:r>
            <w:r w:rsidR="004446D2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require students to use science inquiry skills to provide an answer. Correct use of biological terminology is assessed.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Pr="004963F3" w:rsidRDefault="004446D2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</w:t>
            </w:r>
            <w:r w:rsidR="006334F9">
              <w:rPr>
                <w:lang w:val="en-US"/>
              </w:rPr>
              <w:t>3, 4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Pr="004963F3" w:rsidRDefault="006334F9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34F9" w:rsidRDefault="006334F9" w:rsidP="003E3B7F">
            <w:pPr>
              <w:pStyle w:val="ACLAPTableText"/>
            </w:pPr>
            <w:r>
              <w:t>Supervised written assessment.</w:t>
            </w:r>
          </w:p>
          <w:p w:rsidR="006334F9" w:rsidRPr="004963F3" w:rsidRDefault="006334F9" w:rsidP="003E3B7F">
            <w:pPr>
              <w:pStyle w:val="ACLAPTableText"/>
            </w:pPr>
            <w:r>
              <w:t>Total Time:  90 minutes + 5 minutes reading time.</w:t>
            </w:r>
          </w:p>
        </w:tc>
      </w:tr>
      <w:tr w:rsidR="006334F9" w:rsidRPr="004963F3" w:rsidTr="006334F9">
        <w:trPr>
          <w:trHeight w:val="824"/>
        </w:trPr>
        <w:tc>
          <w:tcPr>
            <w:tcW w:w="1668" w:type="dxa"/>
            <w:vMerge/>
            <w:shd w:val="clear" w:color="auto" w:fill="auto"/>
            <w:vAlign w:val="center"/>
          </w:tcPr>
          <w:p w:rsidR="006334F9" w:rsidRDefault="006334F9" w:rsidP="003E3B7F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34F9" w:rsidRPr="004963F3" w:rsidRDefault="006334F9" w:rsidP="004446D2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Students demonstrate Biological knowledge and skills from </w:t>
            </w:r>
            <w:r w:rsidR="004446D2" w:rsidRPr="004446D2">
              <w:rPr>
                <w:b/>
                <w:lang w:val="en-US"/>
              </w:rPr>
              <w:t>Topic</w:t>
            </w:r>
            <w:r w:rsidR="004446D2">
              <w:rPr>
                <w:lang w:val="en-US"/>
              </w:rPr>
              <w:t xml:space="preserve"> </w:t>
            </w:r>
            <w:r w:rsidR="004446D2" w:rsidRPr="005273B3">
              <w:rPr>
                <w:b/>
                <w:lang w:val="en-US"/>
              </w:rPr>
              <w:t>1: DNA and Proteins</w:t>
            </w:r>
            <w:r w:rsidR="004446D2">
              <w:rPr>
                <w:b/>
                <w:lang w:val="en-US"/>
              </w:rPr>
              <w:t xml:space="preserve"> and Topic 2: Cells as the Basis of Life</w:t>
            </w:r>
            <w:r w:rsidR="004446D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content of the task covers key concepts from any aspect of the topics. Students apply their knowledge and skills to a range of questions in both new and familiar contexts. They apply their knowledge, solve problems, and interpret data or diagrams. A number of questions address aspects of Science as a Human Endeavour. An extended response question will also be included. Correct use of biological terminology is assessed.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Pr="004963F3" w:rsidRDefault="006334F9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Pr="004963F3" w:rsidRDefault="006334F9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1,2,3,4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334F9" w:rsidRDefault="006334F9" w:rsidP="003E3B7F">
            <w:pPr>
              <w:pStyle w:val="ACLAPTableText"/>
            </w:pPr>
            <w:r>
              <w:t>Supervised written assessment.</w:t>
            </w:r>
          </w:p>
          <w:p w:rsidR="006334F9" w:rsidRPr="004963F3" w:rsidRDefault="006334F9" w:rsidP="003E3B7F">
            <w:pPr>
              <w:pStyle w:val="ACLAPTableText"/>
            </w:pPr>
            <w:r>
              <w:t>Total Time:  90 minutes + 5 minutes reading time.</w:t>
            </w:r>
          </w:p>
        </w:tc>
      </w:tr>
      <w:tr w:rsidR="006334F9" w:rsidRPr="004963F3" w:rsidTr="006334F9">
        <w:trPr>
          <w:trHeight w:val="824"/>
        </w:trPr>
        <w:tc>
          <w:tcPr>
            <w:tcW w:w="1668" w:type="dxa"/>
            <w:vMerge/>
            <w:shd w:val="clear" w:color="auto" w:fill="auto"/>
            <w:vAlign w:val="center"/>
          </w:tcPr>
          <w:p w:rsidR="006334F9" w:rsidRDefault="006334F9" w:rsidP="003E3B7F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4BD3" w:rsidRPr="00A24BD3" w:rsidRDefault="00A24BD3" w:rsidP="00A24BD3">
            <w:pPr>
              <w:jc w:val="both"/>
              <w:rPr>
                <w:sz w:val="20"/>
                <w:szCs w:val="20"/>
                <w:lang w:val="en-US"/>
              </w:rPr>
            </w:pPr>
            <w:r w:rsidRPr="00A24BD3">
              <w:rPr>
                <w:sz w:val="20"/>
                <w:szCs w:val="20"/>
                <w:lang w:val="en-US"/>
              </w:rPr>
              <w:t>S</w:t>
            </w:r>
            <w:r w:rsidR="008D5134">
              <w:rPr>
                <w:sz w:val="20"/>
                <w:szCs w:val="20"/>
                <w:lang w:val="en-US"/>
              </w:rPr>
              <w:t xml:space="preserve">tudents </w:t>
            </w:r>
            <w:r>
              <w:rPr>
                <w:sz w:val="20"/>
                <w:szCs w:val="20"/>
                <w:lang w:val="en-US"/>
              </w:rPr>
              <w:t>demonstrate</w:t>
            </w:r>
            <w:r w:rsidRPr="00A24BD3">
              <w:rPr>
                <w:sz w:val="20"/>
                <w:szCs w:val="20"/>
                <w:lang w:val="en-US"/>
              </w:rPr>
              <w:t xml:space="preserve"> their deep and broad knowledge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Pr="00A24BD3">
              <w:rPr>
                <w:sz w:val="20"/>
                <w:szCs w:val="20"/>
                <w:lang w:val="en-US"/>
              </w:rPr>
              <w:t xml:space="preserve">understanding of a range of biological concepts linked to </w:t>
            </w:r>
            <w:r w:rsidR="004446D2">
              <w:rPr>
                <w:sz w:val="20"/>
                <w:szCs w:val="20"/>
                <w:lang w:val="en-US"/>
              </w:rPr>
              <w:t xml:space="preserve">all topics but with some emphasis on </w:t>
            </w:r>
            <w:r w:rsidR="004446D2" w:rsidRPr="004446D2">
              <w:rPr>
                <w:b/>
                <w:sz w:val="20"/>
                <w:szCs w:val="20"/>
                <w:lang w:val="en-US"/>
              </w:rPr>
              <w:t>Topic 4: Evolution</w:t>
            </w:r>
            <w:r w:rsidRPr="00A24BD3">
              <w:rPr>
                <w:sz w:val="20"/>
                <w:szCs w:val="20"/>
                <w:lang w:val="en-US"/>
              </w:rPr>
              <w:t xml:space="preserve"> by answering a series of questions. Using a scientific article as the initial source of information, students will apply their knowledge in a new context, </w:t>
            </w:r>
            <w:r w:rsidR="008D5134">
              <w:rPr>
                <w:sz w:val="20"/>
                <w:szCs w:val="20"/>
                <w:lang w:val="en-US"/>
              </w:rPr>
              <w:t>undertake</w:t>
            </w:r>
            <w:r w:rsidRPr="00A24BD3">
              <w:rPr>
                <w:sz w:val="20"/>
                <w:szCs w:val="20"/>
                <w:lang w:val="en-US"/>
              </w:rPr>
              <w:t xml:space="preserve"> additional research to demons</w:t>
            </w:r>
            <w:r w:rsidR="008D5134">
              <w:rPr>
                <w:sz w:val="20"/>
                <w:szCs w:val="20"/>
                <w:lang w:val="en-US"/>
              </w:rPr>
              <w:t>trate a deeper understanding, and</w:t>
            </w:r>
            <w:r w:rsidRPr="00A24BD3">
              <w:rPr>
                <w:sz w:val="20"/>
                <w:szCs w:val="20"/>
                <w:lang w:val="en-US"/>
              </w:rPr>
              <w:t xml:space="preserve"> explore </w:t>
            </w:r>
            <w:r>
              <w:rPr>
                <w:sz w:val="20"/>
                <w:szCs w:val="20"/>
                <w:lang w:val="en-US"/>
              </w:rPr>
              <w:t xml:space="preserve">some of the key concepts of </w:t>
            </w:r>
            <w:r w:rsidRPr="00A24BD3">
              <w:rPr>
                <w:sz w:val="20"/>
                <w:szCs w:val="20"/>
                <w:lang w:val="en-US"/>
              </w:rPr>
              <w:t xml:space="preserve">Science as a Human Endeavor </w:t>
            </w:r>
            <w:r>
              <w:rPr>
                <w:sz w:val="20"/>
                <w:szCs w:val="20"/>
                <w:lang w:val="en-US"/>
              </w:rPr>
              <w:t xml:space="preserve">explored </w:t>
            </w:r>
            <w:r w:rsidRPr="00A24BD3">
              <w:rPr>
                <w:sz w:val="20"/>
                <w:szCs w:val="20"/>
                <w:lang w:val="en-US"/>
              </w:rPr>
              <w:t>in the article provided.  In addition, students will provide evidence of their science inquiry skills by des</w:t>
            </w:r>
            <w:r w:rsidR="008D5134">
              <w:rPr>
                <w:sz w:val="20"/>
                <w:szCs w:val="20"/>
                <w:lang w:val="en-US"/>
              </w:rPr>
              <w:t>igning a detailed investigation.</w:t>
            </w:r>
          </w:p>
          <w:p w:rsidR="006334F9" w:rsidRDefault="006334F9" w:rsidP="00D37359">
            <w:pPr>
              <w:pStyle w:val="ACLAPTableTex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Default="00A24BD3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34F9" w:rsidRDefault="00A24BD3" w:rsidP="003E3B7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25F8" w:rsidRDefault="007925F8" w:rsidP="007925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Students will be provided with the article a week before the classroom session. </w:t>
            </w:r>
          </w:p>
          <w:p w:rsidR="007925F8" w:rsidRPr="007925F8" w:rsidRDefault="007925F8" w:rsidP="007925F8">
            <w:pPr>
              <w:rPr>
                <w:sz w:val="20"/>
                <w:szCs w:val="20"/>
                <w:lang w:val="en-US"/>
              </w:rPr>
            </w:pPr>
            <w:r w:rsidRPr="007925F8">
              <w:rPr>
                <w:sz w:val="20"/>
                <w:szCs w:val="20"/>
                <w:lang w:val="en-US"/>
              </w:rPr>
              <w:t xml:space="preserve">Students will then be given class time (90 minutes), to answer questions relating to the article, SHE and designing an investigation. </w:t>
            </w:r>
          </w:p>
          <w:p w:rsidR="007925F8" w:rsidRPr="007925F8" w:rsidRDefault="007925F8" w:rsidP="007925F8">
            <w:pPr>
              <w:rPr>
                <w:sz w:val="20"/>
                <w:szCs w:val="20"/>
                <w:lang w:val="en-US"/>
              </w:rPr>
            </w:pPr>
            <w:r w:rsidRPr="007925F8">
              <w:rPr>
                <w:sz w:val="20"/>
                <w:szCs w:val="20"/>
                <w:lang w:val="en-US"/>
              </w:rPr>
              <w:t xml:space="preserve">This is a supervised task; however, students will have access to any resources required, including internet access. </w:t>
            </w:r>
          </w:p>
          <w:p w:rsidR="006334F9" w:rsidRPr="008D5134" w:rsidRDefault="007925F8" w:rsidP="008D5134">
            <w:pPr>
              <w:rPr>
                <w:i/>
                <w:sz w:val="20"/>
                <w:szCs w:val="20"/>
                <w:lang w:val="en-US"/>
              </w:rPr>
            </w:pPr>
            <w:r w:rsidRPr="008D5134">
              <w:rPr>
                <w:i/>
                <w:sz w:val="20"/>
                <w:szCs w:val="20"/>
                <w:lang w:val="en-US"/>
              </w:rPr>
              <w:t>This will be an online task.</w:t>
            </w:r>
          </w:p>
        </w:tc>
      </w:tr>
      <w:tr w:rsidR="006760D7" w:rsidRPr="004963F3" w:rsidTr="0074414B">
        <w:trPr>
          <w:trHeight w:val="48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760D7" w:rsidRDefault="006760D7" w:rsidP="003E3B7F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External Examination</w:t>
            </w:r>
          </w:p>
          <w:p w:rsidR="006760D7" w:rsidRPr="00204015" w:rsidRDefault="006760D7" w:rsidP="003E3B7F">
            <w:pPr>
              <w:pStyle w:val="LAPTableText"/>
              <w:jc w:val="center"/>
              <w:rPr>
                <w:lang w:val="en-US"/>
              </w:rPr>
            </w:pPr>
            <w:r w:rsidRPr="00204015">
              <w:rPr>
                <w:b/>
                <w:lang w:val="en-US"/>
              </w:rPr>
              <w:lastRenderedPageBreak/>
              <w:t xml:space="preserve">Weighting </w:t>
            </w:r>
            <w:r w:rsidRPr="005273B3">
              <w:rPr>
                <w:b/>
                <w:sz w:val="20"/>
                <w:szCs w:val="20"/>
                <w:lang w:val="en-US"/>
              </w:rPr>
              <w:t>30%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0D7" w:rsidRPr="004963F3" w:rsidRDefault="0074414B" w:rsidP="0074414B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2-</w:t>
            </w:r>
            <w:r w:rsidR="006760D7">
              <w:rPr>
                <w:lang w:val="en-US"/>
              </w:rPr>
              <w:t>hour examination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414B" w:rsidRPr="00E53C22" w:rsidRDefault="0074414B" w:rsidP="0074414B">
            <w:pPr>
              <w:pStyle w:val="SOFinalBodyTextExtraSpace-AssTypeONLY"/>
              <w:spacing w:after="120"/>
              <w:rPr>
                <w:sz w:val="19"/>
                <w:szCs w:val="19"/>
              </w:rPr>
            </w:pPr>
            <w:r w:rsidRPr="00E53C22">
              <w:rPr>
                <w:sz w:val="19"/>
                <w:szCs w:val="19"/>
              </w:rPr>
              <w:t xml:space="preserve">All specific features of the assessment design criteria for this subject </w:t>
            </w:r>
            <w:r w:rsidRPr="00E53C22">
              <w:rPr>
                <w:sz w:val="19"/>
                <w:szCs w:val="19"/>
              </w:rPr>
              <w:lastRenderedPageBreak/>
              <w:t>may be assessed in the external examination.</w:t>
            </w:r>
          </w:p>
          <w:p w:rsidR="006760D7" w:rsidRPr="004963F3" w:rsidRDefault="00810F2A" w:rsidP="00810F2A">
            <w:pPr>
              <w:pStyle w:val="ACLAPTableText"/>
            </w:pPr>
            <w:r>
              <w:t>Questions of different types cover all Stage 2 topics and the science inquiry skills. Some questions may require students to integrate their knowledge from more than one topic and show an understanding of science as a human endeavour.</w:t>
            </w:r>
          </w:p>
        </w:tc>
      </w:tr>
    </w:tbl>
    <w:p w:rsidR="00D732EE" w:rsidRPr="00493F70" w:rsidRDefault="00204015" w:rsidP="00E021FF">
      <w:pPr>
        <w:rPr>
          <w:rFonts w:cs="Arial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lastRenderedPageBreak/>
        <w:t>Eight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assessments</w:t>
      </w: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including the external examination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>.</w:t>
      </w:r>
      <w:proofErr w:type="gramEnd"/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</w:t>
      </w:r>
      <w:r w:rsidR="00810F2A">
        <w:rPr>
          <w:rFonts w:cs="Arial"/>
          <w:i/>
          <w:iCs/>
          <w:sz w:val="20"/>
          <w:szCs w:val="20"/>
          <w:lang w:val="en-US"/>
        </w:rPr>
        <w:t xml:space="preserve">draft </w:t>
      </w:r>
      <w:r>
        <w:rPr>
          <w:rFonts w:cs="Arial"/>
          <w:i/>
          <w:iCs/>
          <w:sz w:val="20"/>
          <w:szCs w:val="20"/>
          <w:lang w:val="en-US"/>
        </w:rPr>
        <w:t>Stage 2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1C4BBD">
        <w:rPr>
          <w:rFonts w:cs="Arial"/>
          <w:i/>
          <w:iCs/>
          <w:sz w:val="20"/>
          <w:szCs w:val="20"/>
          <w:lang w:val="en-US"/>
        </w:rPr>
        <w:t>Biology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493F70" w:rsidSect="00EB186C">
      <w:headerReference w:type="first" r:id="rId14"/>
      <w:footerReference w:type="first" r:id="rId15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C0" w:rsidRDefault="00A446C0">
      <w:r>
        <w:separator/>
      </w:r>
    </w:p>
  </w:endnote>
  <w:endnote w:type="continuationSeparator" w:id="0">
    <w:p w:rsidR="00A446C0" w:rsidRDefault="00A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76" w:rsidRDefault="009A2876" w:rsidP="009A2876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rPr>
        <w:noProof/>
      </w:rPr>
      <w:t>4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rPr>
        <w:noProof/>
      </w:rPr>
      <w:t>4</w:t>
    </w:r>
    <w:r w:rsidRPr="00D128A8">
      <w:fldChar w:fldCharType="end"/>
    </w:r>
    <w:r>
      <w:rPr>
        <w:sz w:val="18"/>
      </w:rPr>
      <w:tab/>
    </w:r>
    <w:r>
      <w:t>Stage 2 Biology LAP-02 (for use from 2018)</w:t>
    </w:r>
  </w:p>
  <w:p w:rsidR="009A2876" w:rsidRPr="00AD3BD3" w:rsidRDefault="009A2876" w:rsidP="009A2876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Ref:</w:t>
    </w:r>
    <w:r>
      <w:t xml:space="preserve">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A609542</w:t>
    </w:r>
    <w:r>
      <w:fldChar w:fldCharType="end"/>
    </w:r>
    <w:r w:rsidRPr="00AD3BD3">
      <w:t xml:space="preserve"> </w:t>
    </w:r>
    <w:r>
      <w:t xml:space="preserve"> </w:t>
    </w:r>
    <w:r w:rsidRPr="00AD3BD3">
      <w:t>(</w:t>
    </w:r>
    <w:r>
      <w:t>revised September 2017)</w:t>
    </w:r>
  </w:p>
  <w:p w:rsidR="009A2876" w:rsidRDefault="009A2876" w:rsidP="009A2876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B3" w:rsidRDefault="005273B3" w:rsidP="005273B3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A2876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A2876">
      <w:rPr>
        <w:noProof/>
      </w:rPr>
      <w:t>4</w:t>
    </w:r>
    <w:r w:rsidRPr="00D128A8">
      <w:fldChar w:fldCharType="end"/>
    </w:r>
    <w:r>
      <w:rPr>
        <w:sz w:val="18"/>
      </w:rPr>
      <w:tab/>
    </w:r>
    <w:r w:rsidR="009A2876">
      <w:t xml:space="preserve">Stage 2 Biology LAP-02 </w:t>
    </w:r>
    <w:r>
      <w:t>(for use from 2018)</w:t>
    </w:r>
  </w:p>
  <w:p w:rsidR="005273B3" w:rsidRPr="00AD3BD3" w:rsidRDefault="005273B3" w:rsidP="005273B3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Ref:</w:t>
    </w:r>
    <w:r>
      <w:t xml:space="preserve"> </w:t>
    </w:r>
    <w:fldSimple w:instr=" DOCPROPERTY  Objective-Id  \* MERGEFORMAT ">
      <w:r w:rsidR="00922F30">
        <w:t>A609542</w:t>
      </w:r>
    </w:fldSimple>
    <w:r w:rsidRPr="00AD3BD3">
      <w:t xml:space="preserve"> </w:t>
    </w:r>
    <w:r>
      <w:t xml:space="preserve"> </w:t>
    </w:r>
    <w:r w:rsidRPr="00AD3BD3">
      <w:t>(</w:t>
    </w:r>
    <w:r w:rsidR="009A2876">
      <w:t>revised September 2017</w:t>
    </w:r>
    <w:r>
      <w:t>)</w:t>
    </w:r>
  </w:p>
  <w:p w:rsidR="005273B3" w:rsidRDefault="005273B3" w:rsidP="005273B3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9A2876">
      <w:t xml:space="preserve">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9A2876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9A2876">
        <w:rPr>
          <w:noProof/>
        </w:rPr>
        <w:t>4</w:t>
      </w:r>
    </w:fldSimple>
  </w:p>
  <w:p w:rsidR="002A53B7" w:rsidRDefault="005273B3" w:rsidP="002B6B8E">
    <w:pPr>
      <w:pStyle w:val="LAPFooter"/>
      <w:tabs>
        <w:tab w:val="clear" w:pos="9639"/>
        <w:tab w:val="right" w:pos="10206"/>
      </w:tabs>
    </w:pPr>
    <w:r>
      <w:tab/>
    </w:r>
    <w:r w:rsidR="002A53B7">
      <w:t xml:space="preserve">Stage </w:t>
    </w:r>
    <w:r w:rsidR="001C4BBD">
      <w:t>2 Biology</w:t>
    </w:r>
    <w:r w:rsidR="002A53B7">
      <w:t xml:space="preserve"> </w:t>
    </w:r>
    <w:r w:rsidR="009A2876">
      <w:t>LAP-02</w:t>
    </w:r>
    <w:r w:rsidR="00204015">
      <w:t xml:space="preserve"> (for use from 2018</w:t>
    </w:r>
    <w:r w:rsidR="002A53B7">
      <w:t>)</w:t>
    </w:r>
  </w:p>
  <w:p w:rsidR="002A53B7" w:rsidRPr="00AD3BD3" w:rsidRDefault="002A53B7" w:rsidP="00810F2A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922F30">
        <w:t>A609542</w:t>
      </w:r>
    </w:fldSimple>
    <w:r w:rsidR="00D732EE" w:rsidRPr="00AD3BD3">
      <w:t xml:space="preserve"> </w:t>
    </w:r>
    <w:r w:rsidRPr="00AD3BD3">
      <w:t>(</w:t>
    </w:r>
    <w:r w:rsidR="009A2876">
      <w:t>revised September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 w:rsidR="009A2876">
      <w:t xml:space="preserve"> Australia 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30649E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A2876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A2876">
      <w:rPr>
        <w:noProof/>
      </w:rPr>
      <w:t>4</w:t>
    </w:r>
    <w:r w:rsidRPr="00D128A8">
      <w:fldChar w:fldCharType="end"/>
    </w:r>
    <w:r>
      <w:rPr>
        <w:sz w:val="18"/>
      </w:rPr>
      <w:tab/>
    </w:r>
    <w:r w:rsidR="009A2876">
      <w:t xml:space="preserve">Stage 2 Biology LAP-02 </w:t>
    </w:r>
    <w:r w:rsidR="00EB4B24">
      <w:t>(for use from 2018</w:t>
    </w:r>
    <w:r>
      <w:t>)</w:t>
    </w:r>
  </w:p>
  <w:p w:rsidR="00BA2185" w:rsidRPr="00AD3BD3" w:rsidRDefault="00BA2185" w:rsidP="00810F2A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Ref:</w:t>
    </w:r>
    <w:r w:rsidR="005273B3">
      <w:t xml:space="preserve"> </w:t>
    </w:r>
    <w:fldSimple w:instr=" DOCPROPERTY  Objective-Id  \* MERGEFORMAT ">
      <w:r w:rsidR="00922F30">
        <w:t>A609542</w:t>
      </w:r>
    </w:fldSimple>
    <w:r w:rsidR="005273B3" w:rsidRPr="00AD3BD3">
      <w:t xml:space="preserve"> </w:t>
    </w:r>
    <w:r w:rsidR="005273B3">
      <w:t xml:space="preserve"> </w:t>
    </w:r>
    <w:r w:rsidRPr="00AD3BD3">
      <w:t>(</w:t>
    </w:r>
    <w:r w:rsidR="009A2876">
      <w:t>revised September 2017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9A2876"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C0" w:rsidRDefault="00A446C0">
      <w:r>
        <w:separator/>
      </w:r>
    </w:p>
  </w:footnote>
  <w:footnote w:type="continuationSeparator" w:id="0">
    <w:p w:rsidR="00A446C0" w:rsidRDefault="00A4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E20FEC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0A4D"/>
    <w:rsid w:val="0001143A"/>
    <w:rsid w:val="000132C7"/>
    <w:rsid w:val="00015A5A"/>
    <w:rsid w:val="00021182"/>
    <w:rsid w:val="00024A5F"/>
    <w:rsid w:val="00024A83"/>
    <w:rsid w:val="0003171F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3221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4BBD"/>
    <w:rsid w:val="001C556F"/>
    <w:rsid w:val="001D7C86"/>
    <w:rsid w:val="001E0A92"/>
    <w:rsid w:val="001F5EE5"/>
    <w:rsid w:val="00201E45"/>
    <w:rsid w:val="00203FF5"/>
    <w:rsid w:val="0020401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1AB6"/>
    <w:rsid w:val="0026343A"/>
    <w:rsid w:val="00266120"/>
    <w:rsid w:val="0027216E"/>
    <w:rsid w:val="002758EA"/>
    <w:rsid w:val="0027593B"/>
    <w:rsid w:val="002872D6"/>
    <w:rsid w:val="002937E6"/>
    <w:rsid w:val="00293BC7"/>
    <w:rsid w:val="00295A53"/>
    <w:rsid w:val="002A0389"/>
    <w:rsid w:val="002A1769"/>
    <w:rsid w:val="002A53B7"/>
    <w:rsid w:val="002B6B8E"/>
    <w:rsid w:val="002C0304"/>
    <w:rsid w:val="002D3EFE"/>
    <w:rsid w:val="002D5CF0"/>
    <w:rsid w:val="002D7CEB"/>
    <w:rsid w:val="002E0C15"/>
    <w:rsid w:val="002E5884"/>
    <w:rsid w:val="002F2F32"/>
    <w:rsid w:val="0030649E"/>
    <w:rsid w:val="003065C9"/>
    <w:rsid w:val="003221A6"/>
    <w:rsid w:val="00325B01"/>
    <w:rsid w:val="00325D7E"/>
    <w:rsid w:val="00327F6B"/>
    <w:rsid w:val="00332C7C"/>
    <w:rsid w:val="0033343E"/>
    <w:rsid w:val="00336339"/>
    <w:rsid w:val="0035087B"/>
    <w:rsid w:val="00354621"/>
    <w:rsid w:val="003561C1"/>
    <w:rsid w:val="00356D46"/>
    <w:rsid w:val="00360DBC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C4D61"/>
    <w:rsid w:val="003D1161"/>
    <w:rsid w:val="003E0138"/>
    <w:rsid w:val="003E283B"/>
    <w:rsid w:val="003E2D9F"/>
    <w:rsid w:val="003E3B7F"/>
    <w:rsid w:val="00400114"/>
    <w:rsid w:val="00410AB0"/>
    <w:rsid w:val="00412EBB"/>
    <w:rsid w:val="004132D9"/>
    <w:rsid w:val="004220DF"/>
    <w:rsid w:val="00425CAF"/>
    <w:rsid w:val="0042705B"/>
    <w:rsid w:val="00436D6F"/>
    <w:rsid w:val="004446D2"/>
    <w:rsid w:val="00447927"/>
    <w:rsid w:val="00453A89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5D0F"/>
    <w:rsid w:val="005068CA"/>
    <w:rsid w:val="00511F01"/>
    <w:rsid w:val="00515199"/>
    <w:rsid w:val="00523C7B"/>
    <w:rsid w:val="005273B3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6035E"/>
    <w:rsid w:val="005653A0"/>
    <w:rsid w:val="00566B80"/>
    <w:rsid w:val="00571CC0"/>
    <w:rsid w:val="005722B0"/>
    <w:rsid w:val="005859E4"/>
    <w:rsid w:val="005874B0"/>
    <w:rsid w:val="005961FB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34F9"/>
    <w:rsid w:val="00636855"/>
    <w:rsid w:val="006375B6"/>
    <w:rsid w:val="00637CA4"/>
    <w:rsid w:val="00642B33"/>
    <w:rsid w:val="00646ED5"/>
    <w:rsid w:val="00650684"/>
    <w:rsid w:val="00652856"/>
    <w:rsid w:val="00652EEB"/>
    <w:rsid w:val="006639CE"/>
    <w:rsid w:val="00663E4C"/>
    <w:rsid w:val="006718C1"/>
    <w:rsid w:val="0067208D"/>
    <w:rsid w:val="006760D7"/>
    <w:rsid w:val="0068611E"/>
    <w:rsid w:val="00691860"/>
    <w:rsid w:val="006A1970"/>
    <w:rsid w:val="006A1C13"/>
    <w:rsid w:val="006A264E"/>
    <w:rsid w:val="006A2B3D"/>
    <w:rsid w:val="006A79D7"/>
    <w:rsid w:val="006B268E"/>
    <w:rsid w:val="006B7D92"/>
    <w:rsid w:val="006C2B6F"/>
    <w:rsid w:val="006C377A"/>
    <w:rsid w:val="006D25CE"/>
    <w:rsid w:val="006F4851"/>
    <w:rsid w:val="0070066D"/>
    <w:rsid w:val="00700E3E"/>
    <w:rsid w:val="00701E4F"/>
    <w:rsid w:val="0071148A"/>
    <w:rsid w:val="007135A4"/>
    <w:rsid w:val="007260AC"/>
    <w:rsid w:val="00730C1A"/>
    <w:rsid w:val="0074414B"/>
    <w:rsid w:val="007471E7"/>
    <w:rsid w:val="0074792E"/>
    <w:rsid w:val="0075733C"/>
    <w:rsid w:val="00760088"/>
    <w:rsid w:val="00763AFB"/>
    <w:rsid w:val="007810D8"/>
    <w:rsid w:val="00786CC2"/>
    <w:rsid w:val="007925F8"/>
    <w:rsid w:val="007A131B"/>
    <w:rsid w:val="007A43D2"/>
    <w:rsid w:val="007A464F"/>
    <w:rsid w:val="007B3BEB"/>
    <w:rsid w:val="007B75A6"/>
    <w:rsid w:val="007C07CE"/>
    <w:rsid w:val="007C245C"/>
    <w:rsid w:val="007C546D"/>
    <w:rsid w:val="007C7E0B"/>
    <w:rsid w:val="007D72A8"/>
    <w:rsid w:val="007F2005"/>
    <w:rsid w:val="007F25DC"/>
    <w:rsid w:val="007F6A1F"/>
    <w:rsid w:val="007F76BE"/>
    <w:rsid w:val="0080194B"/>
    <w:rsid w:val="00801B35"/>
    <w:rsid w:val="008037E1"/>
    <w:rsid w:val="00810B6A"/>
    <w:rsid w:val="00810F2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8540E"/>
    <w:rsid w:val="0089635C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5134"/>
    <w:rsid w:val="008D73E1"/>
    <w:rsid w:val="008E543D"/>
    <w:rsid w:val="00912DF3"/>
    <w:rsid w:val="00922F30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2876"/>
    <w:rsid w:val="009A5606"/>
    <w:rsid w:val="009A722D"/>
    <w:rsid w:val="009B19E7"/>
    <w:rsid w:val="009B1FDE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17239"/>
    <w:rsid w:val="00A24BD3"/>
    <w:rsid w:val="00A27B37"/>
    <w:rsid w:val="00A372B3"/>
    <w:rsid w:val="00A4171C"/>
    <w:rsid w:val="00A41CA1"/>
    <w:rsid w:val="00A44351"/>
    <w:rsid w:val="00A446C0"/>
    <w:rsid w:val="00A452B1"/>
    <w:rsid w:val="00A460D7"/>
    <w:rsid w:val="00A5044F"/>
    <w:rsid w:val="00A57D2D"/>
    <w:rsid w:val="00A7012E"/>
    <w:rsid w:val="00A73078"/>
    <w:rsid w:val="00A840FD"/>
    <w:rsid w:val="00A86047"/>
    <w:rsid w:val="00A87E4B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1A1E"/>
    <w:rsid w:val="00AE541A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3DDA"/>
    <w:rsid w:val="00B55467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3054"/>
    <w:rsid w:val="00C26D84"/>
    <w:rsid w:val="00C34B96"/>
    <w:rsid w:val="00C3579E"/>
    <w:rsid w:val="00C41436"/>
    <w:rsid w:val="00C4282B"/>
    <w:rsid w:val="00C463C6"/>
    <w:rsid w:val="00C67081"/>
    <w:rsid w:val="00C85B9F"/>
    <w:rsid w:val="00C93EA3"/>
    <w:rsid w:val="00C94E68"/>
    <w:rsid w:val="00C97C4C"/>
    <w:rsid w:val="00CA14F6"/>
    <w:rsid w:val="00CA234C"/>
    <w:rsid w:val="00CB0F63"/>
    <w:rsid w:val="00CB3D43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37359"/>
    <w:rsid w:val="00D41B88"/>
    <w:rsid w:val="00D47F6E"/>
    <w:rsid w:val="00D513F3"/>
    <w:rsid w:val="00D53DB2"/>
    <w:rsid w:val="00D55A43"/>
    <w:rsid w:val="00D61756"/>
    <w:rsid w:val="00D665D2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0FEC"/>
    <w:rsid w:val="00E23540"/>
    <w:rsid w:val="00E33BD4"/>
    <w:rsid w:val="00E4694F"/>
    <w:rsid w:val="00E50015"/>
    <w:rsid w:val="00E64E91"/>
    <w:rsid w:val="00E67295"/>
    <w:rsid w:val="00E74D4A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B24"/>
    <w:rsid w:val="00EB4E42"/>
    <w:rsid w:val="00EC3D2F"/>
    <w:rsid w:val="00ED2F48"/>
    <w:rsid w:val="00ED6619"/>
    <w:rsid w:val="00EE1E05"/>
    <w:rsid w:val="00EE451F"/>
    <w:rsid w:val="00EE5A50"/>
    <w:rsid w:val="00EE71C4"/>
    <w:rsid w:val="00EF5BDD"/>
    <w:rsid w:val="00F03861"/>
    <w:rsid w:val="00F137D0"/>
    <w:rsid w:val="00F25793"/>
    <w:rsid w:val="00F25AF5"/>
    <w:rsid w:val="00F41F34"/>
    <w:rsid w:val="00F5023B"/>
    <w:rsid w:val="00F66744"/>
    <w:rsid w:val="00F7747E"/>
    <w:rsid w:val="00F916C9"/>
    <w:rsid w:val="00F96C11"/>
    <w:rsid w:val="00FA0B40"/>
    <w:rsid w:val="00FA1604"/>
    <w:rsid w:val="00FA5230"/>
    <w:rsid w:val="00FA7E17"/>
    <w:rsid w:val="00FB5948"/>
    <w:rsid w:val="00FB76A1"/>
    <w:rsid w:val="00FB7CE3"/>
    <w:rsid w:val="00FC361E"/>
    <w:rsid w:val="00FD3C1B"/>
    <w:rsid w:val="00FE00F0"/>
    <w:rsid w:val="00FE0EC9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A7012E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SOFinalBodyTextExtraSpace-AssTypeONLYChar">
    <w:name w:val="SO Final Body Text (Extra Space-Ass Type ONLY) Char"/>
    <w:link w:val="SOFinalBodyTextExtraSpace-AssTypeONLY"/>
    <w:locked/>
    <w:rsid w:val="0074414B"/>
    <w:rPr>
      <w:rFonts w:ascii="Arial" w:hAnsi="Arial" w:cs="Arial"/>
      <w:color w:val="000000"/>
      <w:szCs w:val="24"/>
      <w:lang w:val="en-US" w:eastAsia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74414B"/>
    <w:pPr>
      <w:spacing w:before="240"/>
    </w:pPr>
    <w:rPr>
      <w:rFonts w:eastAsia="Times New Roman" w:cs="Arial"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A7012E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SOFinalBodyTextExtraSpace-AssTypeONLYChar">
    <w:name w:val="SO Final Body Text (Extra Space-Ass Type ONLY) Char"/>
    <w:link w:val="SOFinalBodyTextExtraSpace-AssTypeONLY"/>
    <w:locked/>
    <w:rsid w:val="0074414B"/>
    <w:rPr>
      <w:rFonts w:ascii="Arial" w:hAnsi="Arial" w:cs="Arial"/>
      <w:color w:val="000000"/>
      <w:szCs w:val="24"/>
      <w:lang w:val="en-US" w:eastAsia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74414B"/>
    <w:pPr>
      <w:spacing w:before="240"/>
    </w:pPr>
    <w:rPr>
      <w:rFonts w:eastAsia="Times New Roman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microsoft.com/office/2007/relationships/stylesWithEffects" Target="stylesWithEffect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customXml" Target="/customXML/item3.xml" Id="R29bbe7cf36c04fe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A609542</value>
    </field>
    <field name="Objective-Title">
      <value order="0">Stage 2  Biology LAP 3 - aligns with program 3</value>
    </field>
    <field name="Objective-Description">
      <value order="0"/>
    </field>
    <field name="Objective-CreationStamp">
      <value order="0">2017-02-16T02:04:28Z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2017-09-22T03:58:42Z</value>
    </field>
    <field name="Objective-ModificationStamp">
      <value order="0">2017-09-22T03:58:42Z</value>
    </field>
    <field name="Objective-Owner">
      <value order="0">Kathy Adams</value>
    </field>
    <field name="Objective-Path">
      <value order="0">Objective Global Folder:SACE Support Materials:SACE Support Materials Stage 2:Sciences:Biology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vA1187710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867E8A3-22A0-4B69-87C1-C2AFD77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7</cp:revision>
  <cp:lastPrinted>2017-02-16T02:14:00Z</cp:lastPrinted>
  <dcterms:created xsi:type="dcterms:W3CDTF">2017-02-16T02:04:00Z</dcterms:created>
  <dcterms:modified xsi:type="dcterms:W3CDTF">2017-09-22T04:58:00Z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A609542</vt:lpwstr>
  </property>
  <property fmtid="{D5CDD505-2E9C-101B-9397-08002B2CF9AE}" pid="3" name="Objective-Title">
    <vt:lpwstr>Stage 2  Biology LAP 3 - aligns with program 3</vt:lpwstr>
  </property>
  <property fmtid="{D5CDD505-2E9C-101B-9397-08002B2CF9AE}" pid="4" name="Objective-Comment">
    <vt:lpwstr/>
  </property>
  <property fmtid="{D5CDD505-2E9C-101B-9397-08002B2CF9AE}" pid="5" name="Objective-CreationStamp">
    <vt:filetime>2017-02-16T02:04:28Z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2017-09-22T03:58:42Z</vt:filetime>
  </property>
  <property fmtid="{D5CDD505-2E9C-101B-9397-08002B2CF9AE}" pid="9" name="Objective-ModificationStamp">
    <vt:filetime>2017-09-22T03:58:42Z</vt:filetime>
  </property>
  <property fmtid="{D5CDD505-2E9C-101B-9397-08002B2CF9AE}" pid="10" name="Objective-Owner">
    <vt:lpwstr>Kathy Adams</vt:lpwstr>
  </property>
  <property fmtid="{D5CDD505-2E9C-101B-9397-08002B2CF9AE}" pid="11" name="Objective-Path">
    <vt:lpwstr>Objective Global Folder:SACE Support Materials:SACE Support Materials Stage 2:Sciences:Biology (from 2018):Pre-approved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qA14529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vA1187710</vt:lpwstr>
  </property>
</Properties>
</file>